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162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Anmeldung der Gesellschaft hat außer den in § 106 Abs. 2 vorgesehenen Angaben die Bezeichnung der Kommanditisten und den Betrag der Haftsumme eines jeden von ihnen zu enthalten.</w:t>
      </w:r>
    </w:p>
    <w:p>
      <w:r>
        <w:t xml:space="preserve">(2) Diese Vorschriften finden im Falle des Eintritts eines Kommanditisten in eine bestehende Handelsgesellschaft und im Falle des Ausscheidens eines Kommanditisten aus einer Kommanditgesellschaft entsprechende Anwendung.</w:t>
      </w:r>
    </w:p>
    <w:p>
      <w:r>
        <w:rPr>
          <w:color w:val="555555"/>
          <w:sz w:val="17"/>
        </w:rPr>
        <w:t xml:space="preserve">Zitiervorschlag: § 162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https://recht.nulegal.eu/gesetze/HGB/162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