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Außer Kraft: § 159 ist seit 01.01.2024 nicht mehr im HGB enthalten. Angezeigt wird die letzte bekannte Fassung, Stand 10.06.2019.</w:t>
      </w:r>
    </w:p>
    <w:p>
      <w:r>
        <w:t xml:space="preserve">(1) Die Ansprüche gegen einen Gesellschafter aus Verbindlichkeiten der Gesellschaft verjähren in fünf Jahren nach der Auflösung der Gesellschaft, sofern nicht der Anspruch gegen die Gesellschaft einer kürzeren Verjährung unterliegt.</w:t>
      </w:r>
    </w:p>
    <w:p>
      <w:r>
        <w:t xml:space="preserve">(2) Die Verjährung beginnt mit dem Ende des Tages, an welchem die Auflösung der Gesellschaft in das Handelsregister des für den Sitz der Gesellschaft zuständigen Gerichts eingetragen wird.</w:t>
      </w:r>
    </w:p>
    <w:p>
      <w:r>
        <w:t xml:space="preserve">(3) Wird der Anspruch des Gläubigers gegen die Gesellschaft erst nach der Eintragung fällig, so beginnt die Verjährung mit dem Zeitpunkte der Fälligkeit.</w:t>
      </w:r>
    </w:p>
    <w:p>
      <w:r>
        <w:t xml:space="preserve">(4) Der Neubeginn der Verjährung und ihre Hemmung nach § 204 des Bürgerlichen Gesetzbuchs gegenüber der aufgelösten Gesellschaft wirken auch gegenüber den Gesellschaftern, die der Gesellschaft zur Zeit der Auflösung angehört haben.</w:t>
      </w:r>
    </w:p>
    <w:p>
      <w:r>
        <w:rPr>
          <w:color w:val="555555"/>
          <w:sz w:val="17"/>
        </w:rPr>
        <w:t xml:space="preserve">Zitiervorschlag: § 159 HGB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