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154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Außer Kraft: § 154 ist seit 01.01.2024 nicht mehr im HGB enthalten. Angezeigt wird die letzte bekannte Fassung, Stand 10.06.2019.</w:t>
      </w:r>
    </w:p>
    <w:p>
      <w:r>
        <w:t xml:space="preserve">Die Liquidatoren haben bei dem Beginne sowie bei der Beendigung der Liquidation eine Bilanz aufzustellen.</w:t>
      </w:r>
    </w:p>
    <w:p>
      <w:r>
        <w:rPr>
          <w:color w:val="555555"/>
          <w:sz w:val="17"/>
        </w:rPr>
        <w:t xml:space="preserve">Zitiervorschlag: § 154 HGB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https://recht.nulegal.eu/gesetze/HGB/154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