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153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Außer Kraft: § 153 ist seit 01.01.2024 nicht mehr im HGB enthalten. Angezeigt wird die letzte bekannte Fassung, Stand 10.06.2019.</w:t>
      </w:r>
    </w:p>
    <w:p>
      <w:r>
        <w:t xml:space="preserve">Die Liquidatoren haben ihre Unterschrift in der Weise abzugeben, daß sie der bisherigen, als Liquidationsfirma zu bezeichnenden Firma ihren Namen beifügen.</w:t>
      </w:r>
    </w:p>
    <w:p>
      <w:r>
        <w:rPr>
          <w:color w:val="555555"/>
          <w:sz w:val="17"/>
        </w:rPr>
        <w:t xml:space="preserve">Zitiervorschlag: § 153 HGB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