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149 HGB — Haftung des Gesellschafters für Fehlbetrag</w:t>
      </w:r>
    </w:p>
    <w:p>
      <w:r>
        <w:rPr>
          <w:color w:val="555555"/>
          <w:sz w:val="18"/>
        </w:rPr>
        <w:t xml:space="preserve">Handelsgesetzbuch</w:t>
      </w:r>
    </w:p>
    <w:p>
      <w:r>
        <w:rPr>
          <w:color w:val="555555"/>
          <w:sz w:val="18"/>
        </w:rPr>
        <w:t xml:space="preserve">Stand: 01.01.2024 (konsolidierte Textfassung, kein amtliches Inkrafttretensdatum)</w:t>
      </w:r>
    </w:p>
    <w:p>
      <w:r>
        <w:t xml:space="preserve">Reicht das Gesellschaftsvermögen zur Berichtigung der Verbindlichkeiten und zur Rückerstattung der Beiträge nicht aus, haben die Gesellschafter der Gesellschaft für den Fehlbetrag nach dem Verhältnis ihrer Kapitalanteile aufzukommen. Kann von einem Gesellschafter der auf ihn entfallende Betrag nicht erlangt werden, haben die anderen Gesellschafter den Ausfall nach dem gleichen Verhältnis zu tragen.</w:t>
      </w:r>
    </w:p>
    <w:p>
      <w:r>
        <w:rPr>
          <w:color w:val="555555"/>
          <w:sz w:val="17"/>
        </w:rPr>
        <w:t xml:space="preserve">Zitiervorschlag: § 149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