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138 HGB — Auflösungsgründe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Gesellschaft wird aufgelöst durch:</w:t>
      </w:r>
    </w:p>
    <w:p>
      <w:pPr>
        <w:ind w:left="420"/>
      </w:pPr>
      <w:r>
        <w:t xml:space="preserve">1. Ablauf der Zeit, für welche sie eingegangen wurde;</w:t>
      </w:r>
    </w:p>
    <w:p>
      <w:pPr>
        <w:ind w:left="420"/>
      </w:pPr>
      <w:r>
        <w:t xml:space="preserve">2. Eröffnung des Insolvenzverfahrens über das Vermögen der Gesellschaft;</w:t>
      </w:r>
    </w:p>
    <w:p>
      <w:pPr>
        <w:ind w:left="420"/>
      </w:pPr>
      <w:r>
        <w:t xml:space="preserve">3. gerichtliche Entscheidung über den Antrag auf Auflösung;</w:t>
      </w:r>
    </w:p>
    <w:p>
      <w:pPr>
        <w:ind w:left="420"/>
      </w:pPr>
      <w:r>
        <w:t xml:space="preserve">4. Auflösungsbeschluss.</w:t>
      </w:r>
    </w:p>
    <w:p>
      <w:r>
        <w:t xml:space="preserve">(2) Eine Gesellschaft, bei der kein persönlich haftender Gesellschafter eine natürliche Person ist, wird ferner aufgelöst:</w:t>
      </w:r>
    </w:p>
    <w:p>
      <w:pPr>
        <w:ind w:left="420"/>
      </w:pPr>
      <w:r>
        <w:t xml:space="preserve">1. mit der Rechtskraft des Beschlusses, durch den die Eröffnung des Insolvenzverfahrens mangels Masse abgelehnt worden ist;</w:t>
      </w:r>
    </w:p>
    <w:p>
      <w:pPr>
        <w:ind w:left="420"/>
      </w:pPr>
      <w:r>
        <w:t xml:space="preserve">2. durch die Löschung wegen Vermögenslosigkeit nach § 394 des Gesetzes über das Verfahren in Familiensachen und in den Angelegenheiten der freiwilligen Gerichtsbarkeit.</w:t>
      </w:r>
    </w:p>
    <w:p>
      <w:r>
        <w:t xml:space="preserve">Dies gilt nicht, wenn zu den persönlich haftenden Gesellschaftern eine andere rechtsfähige Personengesellschaft gehört, bei der mindestens ein persönlich haftender Gesellschafter eine natürliche Person ist.</w:t>
      </w:r>
    </w:p>
    <w:p>
      <w:r>
        <w:t xml:space="preserve">(3) Im Gesellschaftsvertrag können weitere Auflösungsgründe vereinbart werden.</w:t>
      </w:r>
    </w:p>
    <w:p>
      <w:r>
        <w:rPr>
          <w:color w:val="555555"/>
          <w:sz w:val="17"/>
        </w:rPr>
        <w:t xml:space="preserve">Zitiervorschlag: § 138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138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