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HGB — Ansprüche des ausgeschiedenen Gesellschafters</w:t>
      </w:r>
    </w:p>
    <w:p>
      <w:r>
        <w:rPr>
          <w:color w:val="555555"/>
          <w:sz w:val="18"/>
        </w:rPr>
        <w:t xml:space="preserve">Handelsgesetzbuch</w:t>
      </w:r>
    </w:p>
    <w:p>
      <w:r>
        <w:rPr>
          <w:color w:val="555555"/>
          <w:sz w:val="18"/>
        </w:rPr>
        <w:t xml:space="preserve">Stand: 01.01.2024 (konsolidierte Textfassung, kein amtliches Inkrafttretensdatum)</w:t>
      </w:r>
    </w:p>
    <w:p>
      <w:r>
        <w:t xml:space="preserve">(1) Sofern im Gesellschaftsvertrag nichts anderes vereinbart ist, ist die Gesellschaft verpflichtet, den ausgeschiedenen Gesellschafter von der Haftung für die Verbindlichkeiten der Gesellschaft zu befreien und ihm eine dem Wert seines Anteils angemessene Abfindung zu zahlen. Sind Verbindlichkeiten der Gesellschaft noch nicht fällig, kann die Gesellschaft dem Ausgeschiedenen Sicherheit leisten, statt ihn von der Haftung nach § 126 zu befreien.</w:t>
      </w:r>
    </w:p>
    <w:p>
      <w:r>
        <w:t xml:space="preserve">(2) Im Fall des § 134 ist für die Ermittlung des Abfindungsanspruchs die Vermögenslage der Gesellschaft in dem Zeitpunkt maßgebend, in welchem die Ausschließungsklage erhoben ist.</w:t>
      </w:r>
    </w:p>
    <w:p>
      <w:r>
        <w:t xml:space="preserve">(3) Der Wert des Gesellschaftsanteils ist, soweit erforderlich, im Wege der Schätzung zu ermitteln.</w:t>
      </w:r>
    </w:p>
    <w:p>
      <w:r>
        <w:rPr>
          <w:color w:val="555555"/>
          <w:sz w:val="17"/>
        </w:rPr>
        <w:t xml:space="preserve">Zitiervorschlag: § 135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