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HGB — Gewinnauszahlung</w:t>
      </w:r>
    </w:p>
    <w:p>
      <w:r>
        <w:rPr>
          <w:color w:val="555555"/>
          <w:sz w:val="18"/>
        </w:rPr>
        <w:t xml:space="preserve">Handelsgesetzbuch</w:t>
      </w:r>
    </w:p>
    <w:p>
      <w:r>
        <w:rPr>
          <w:color w:val="555555"/>
          <w:sz w:val="18"/>
        </w:rPr>
        <w:t xml:space="preserve">Stand: 01.01.2024 (konsolidierte Textfassung, kein amtliches Inkrafttretensdatum)</w:t>
      </w:r>
    </w:p>
    <w:p>
      <w:r>
        <w:t xml:space="preserve">Jeder Gesellschafter hat aufgrund des festgestellten Jahresabschlusses Anspruch auf Auszahlung seines ermittelten Gewinnanteils. Der Anspruch kann nicht geltend gemacht werden, soweit die Auszahlung zum offenbaren Schaden der Gesellschaft gereicht oder der Gesellschafter seinen vereinbarten Beitrag trotz Fälligkeit nicht geleistet hat.</w:t>
      </w:r>
    </w:p>
    <w:p>
      <w:r>
        <w:rPr>
          <w:color w:val="555555"/>
          <w:sz w:val="17"/>
        </w:rPr>
        <w:t xml:space="preserve">Zitiervorschlag: § 122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