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HGB — Ermittlung von Gewinn- und Verlustanteilen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geschäftsführungsbefugten Gesellschafter sind gegenüber der Gesellschaft zur Aufstellung des Jahresabschlusses (§ 242 Absatz 3) verpflichtet. Sie haben dabei für jeden Gesellschafter nach Maßgabe von § 709 Absatz 3 des Bürgerlichen Gesetzbuchs den Anteil am Gewinn oder Verlust zu ermitteln.</w:t>
      </w:r>
    </w:p>
    <w:p>
      <w:r>
        <w:t xml:space="preserve">(2) Der einem Gesellschafter zukommende Gewinn wird dem Kapitalanteil des Gesellschafters zugeschrieben; der auf einen Gesellschafter entfallende Verlust wird davon abgeschrieben.</w:t>
      </w:r>
    </w:p>
    <w:p>
      <w:r>
        <w:rPr>
          <w:color w:val="555555"/>
          <w:sz w:val="17"/>
        </w:rPr>
        <w:t xml:space="preserve">Zitiervorschlag: § 120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