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111 HGB — Anfechtungsbefugnis; Rechtsschutzbedürfnis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Anfechtungsbefugt ist jeder Gesellschafter, der oder dessen Rechtsvorgänger im Zeitpunkt der Beschlussfassung der Gesellschaft angehört hat.</w:t>
      </w:r>
    </w:p>
    <w:p>
      <w:r>
        <w:t xml:space="preserve">(2) Ein Verlust der Mitgliedschaft nach dem Zeitpunkt der Beschlussfassung lässt das Rechtsschutzbedürfnis des Rechtsvorgängers unberührt, wenn er ein berechtigtes Interesse an der Führung des Rechtsstreits hat.</w:t>
      </w:r>
    </w:p>
    <w:p>
      <w:r>
        <w:rPr>
          <w:color w:val="555555"/>
          <w:sz w:val="17"/>
        </w:rPr>
        <w:t xml:space="preserve">Zitiervorschlag: § 111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111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