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HGB — Offenlegung in der Amtssprache eines Mitgliedstaats der Europäischen Union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zum Handelsregister einzureichenden Dokumente sowie der Inhalt einer Eintragung können zusätzlich in jeder Amtssprache eines Mitgliedstaats der Europäischen Union übermittelt werden. Auf die Übersetzungen ist in geeigneter Weise hinzuweisen. § 9 ist entsprechend anwendbar.</w:t>
      </w:r>
    </w:p>
    <w:p>
      <w:r>
        <w:t xml:space="preserve">(2) Im Fall der Abweichung der Originalfassung von einer eingereichten Übersetzung kann letztere einem Dritten nicht entgegengehalten werden; dieser kann sich jedoch auf die eingereichte Übersetzung berufen, es sei denn, der Eingetragene weist nach, dass dem Dritten die Originalfassung bekannt war.</w:t>
      </w:r>
    </w:p>
    <w:p>
      <w:r>
        <w:rPr>
          <w:color w:val="555555"/>
          <w:sz w:val="17"/>
        </w:rPr>
        <w:t xml:space="preserve">Zitiervorschlag: § 11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