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HGB — Anwendung der Verordnung (EU) 2016/679</w:t>
      </w:r>
    </w:p>
    <w:p>
      <w:r>
        <w:rPr>
          <w:color w:val="555555"/>
          <w:sz w:val="18"/>
        </w:rPr>
        <w:t xml:space="preserve">Handelsgesetzbuch</w:t>
      </w:r>
    </w:p>
    <w:p>
      <w:r>
        <w:rPr>
          <w:color w:val="555555"/>
          <w:sz w:val="18"/>
        </w:rPr>
        <w:t xml:space="preserve">Stand: 01.08.2022 (konsolidierte Textfassung, kein amtliches Inkrafttretensdatum)</w:t>
      </w:r>
    </w:p>
    <w:p>
      <w:r>
        <w:t xml:space="preserve">(1) Das Auskunftsrecht nach Artikel 15 Absatz 1 und das Recht auf Erhalt einer Kopie nach Artikel 15 Absatz 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wird dadurch erfüllt, dass die betroffene Person Einsicht in das Handelsregister und in die zum Handelsregister eingereichten Dokumente nehmen kann. Eine Information der betroffenen Person über konkrete Empfänger, gegenüber denen die im Register, in Registerbekanntmachungen oder in zum Register einzureichenden Dokumenten enthaltenen personenbezogenen Daten offengelegt werden, erfolgt nicht.</w:t>
      </w:r>
    </w:p>
    <w:p>
      <w:r>
        <w:t xml:space="preserve">(2) Hinsichtlich der im Handelsregister, in Registerbekanntmachungen oder in zum Handelsregister einzureichenden Dokumenten enthaltenen personenbezogenen Daten kann das Recht auf Berichtigung nach Artikel 16 der Verordnung (EU) 2016/679 nur unter den Voraussetzungen ausgeübt werden, die in den §§ 393 bis 395 und §§ 397 bis 399 des Gesetzes über das Verfahren in Familiensachen und in den Angelegenheiten der Freiwilligen Gerichtsbarkeit sowie der Rechtsverordnung nach § 387 Absatz 2 des Gesetzes über das Verfahren in Familiensachen und in den Angelegenheiten der Freiwilligen Gerichtsbarkeit für eine Löschung oder Berichtigung vorgesehen sind.</w:t>
      </w:r>
    </w:p>
    <w:p>
      <w:r>
        <w:t xml:space="preserve">(3) Das Widerspruchsrecht gemäß Artikel 21 der Verordnung (EU) 2016/679 findet in Bezug auf die im Handelsregister, in Registerbekanntmachungen oder in zum Handelsregister einzureichenden Dokumenten enthaltenen personenbezogenen Daten keine Anwendung.</w:t>
      </w:r>
    </w:p>
    <w:p>
      <w:r>
        <w:rPr>
          <w:color w:val="555555"/>
          <w:sz w:val="17"/>
        </w:rPr>
        <w:t xml:space="preserve">Zitiervorschlag: § 10a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