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als Handelsmakler</w:t>
      </w:r>
    </w:p>
    <w:p>
      <w:pPr>
        <w:ind w:left="420"/>
      </w:pPr>
      <w:r>
        <w:t xml:space="preserve">1. vorsätzlich oder fahrlässig ein Tagebuch über die abgeschlossenen Geschäfte zu führen unterläßt oder das Tagebuch in einer Weise führt, die dem § 100 Abs. 1 widerspricht oder</w:t>
      </w:r>
    </w:p>
    <w:p>
      <w:pPr>
        <w:ind w:left="420"/>
      </w:pPr>
      <w:r>
        <w:t xml:space="preserve">2. ein solches Tagebuch vor Ablauf der gesetzlichen Aufbewahrungsfrist vernichtet.</w:t>
      </w:r>
    </w:p>
    <w:p>
      <w:r>
        <w:t xml:space="preserve">(2) Die Ordnungswidrigkeit kann mit einer Geldbuße bis zu fünftausend Euro geahndet werden.</w:t>
      </w:r>
    </w:p>
    <w:p>
      <w:r>
        <w:rPr>
          <w:color w:val="555555"/>
          <w:sz w:val="17"/>
        </w:rPr>
        <w:t xml:space="preserve">Zitiervorschlag: § 103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https://recht.nulegal.eu/gesetze/HGB/103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