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HG (Nordrhein-Westfalen) — Hochschulische Gefahrenabwehr bei dem Verdacht eines studentischen Ordnungsverstoßes nach § 51a Absatz 1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Besteht aufgrund zureichender tatsächlicher Anhaltspunkte für die Begehung eines Ordnungsverstoßes nach § 51a Absatz 1 die konkrete Gefahr, dass ein Mitglied oder Angehöriger der Hochschule in Studium oder hochschulischer Tätigkeit erheblich behindert wird, so können Maßnahmen nach § 51a Absatz 2 Satz 2 Nummer 3 bis 7 unabhängig von der Durchführung eines Verfahrens zur Verhängung einer Ordnungsmaßnahme und dem Nachweis der Begehung eines Ordnungsverstoßes angeordnet werden.</w:t>
      </w:r>
    </w:p>
    <w:p>
      <w:r>
        <w:t xml:space="preserve">(2) Maßnahmen nach Absatz 1 sind gegen die Studierende oder den Studierenden zu richten, welche oder welcher die Gefahr verursacht.</w:t>
      </w:r>
    </w:p>
    <w:p>
      <w:r>
        <w:t xml:space="preserve">(3) Zuständig für die Anordnung nach Absatz 1 ist die nach § 51a Absatz 4 zuständige Stelle. Diese kann ihre Anordnungsbefugnis auf die Dekanin oder den Dekan, auch im Falle des Bestehens eines Dekanats, übertragen.</w:t>
      </w:r>
    </w:p>
    <w:p>
      <w:r>
        <w:rPr>
          <w:color w:val="555555"/>
          <w:sz w:val="17"/>
        </w:rPr>
        <w:t xml:space="preserve">Zitiervorschlag: § 99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https://recht.nulegal.eu/gesetze/HG/99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