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HG (Nordrhein-Westfalen) — Anwendungsbereich, Integritätsverstöße und Integritätsmaßnahmen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Verletzt ein Mitglied der Hochschule eine dienstrechtliche Pflicht und stellt diese Pflichtverletzung nicht ausschließlich einen Redlichkeitsverstoß nach § 86 Absatz 1 dar, so finden hierauf Anwendung,</w:t>
      </w:r>
    </w:p>
    <w:p>
      <w:r>
        <w:t xml:space="preserve">1. wenn das Mitglied in einem privatrechtlichen Dienstverhältnis zur Hochschule steht, vorbehaltlich der Nummer 3 die allgemeinen arbeitsrechtlichen Bestimmungen und nicht die Bestimmungen der Absätze 2 bis 7,</w:t>
      </w:r>
    </w:p>
    <w:p>
      <w:r>
        <w:t xml:space="preserve">2. wenn das Mitglied in einem Beamtenverhältnis zur Hochschule steht, vorbehaltlich der Nummer 3 die allgemeinen beamtenrechtlichen Bestimmungen und nicht die Bestimmungen der Absätze 2 bis 7,</w:t>
      </w:r>
    </w:p>
    <w:p>
      <w:r>
        <w:t xml:space="preserve">3. wenn das Mitglied eine Hochschullehrerin oder ein Hochschullehrer der Hochschule ist, unbeschadet der allgemeinen arbeits- oder beamtenrechtlichen Bestimmungen die Bestimmungen der Absätze 2 bis 7.</w:t>
      </w:r>
    </w:p>
    <w:p>
      <w:r>
        <w:t xml:space="preserve">Die §§ 98 bis 100 bleiben unberührt. Für Studierende gilt vorbehaltlich der Sätze 1 und 2 der § 51a.</w:t>
      </w:r>
    </w:p>
    <w:p>
      <w:r>
        <w:t xml:space="preserve">(2) Eine Hochschullehrerin oder ein Hochschullehrer begeht einen Integritätsverstoß, wenn sie oder er schuldhaft eine ihr oder ihm obliegende dienstrechtliche Pflicht verletzt und diese Pflichtverletzung nicht ausschließlich einen Redlichkeitsverstoß nach § 86 Absatz 1 darstellt.</w:t>
      </w:r>
    </w:p>
    <w:p>
      <w:r>
        <w:t xml:space="preserve">(3) Gegen die Person, welche einen Integritätsverstoß begangen hat (Maßnahmenadressat), soll eine Integritätsmaßnahme verhängt werden. Integritätsmaßnahmen sind:</w:t>
      </w:r>
    </w:p>
    <w:p>
      <w:r>
        <w:t xml:space="preserve">1. unbeschadet der §§ 98 und 100 und des Hausrechts Weisungen betreffend</w:t>
      </w:r>
    </w:p>
    <w:p>
      <w:r>
        <w:t xml:space="preserve">a) das vollständige oder teilweise Verbot des Betretens einzelner oder sämtlicher Liegenschaften der Hochschule zur Wahrnehmung einzelner oder sämtlicher Dienstaufgaben oder</w:t>
      </w:r>
    </w:p>
    <w:p>
      <w:r>
        <w:t xml:space="preserve">b) das Gebot, die dem Maßnahmenadressaten obliegende Lehre ganz oder teilweise mittels Videokonferenztechnik oder eines anderen technischen Instruments ausschließlich online zu erbringen,</w:t>
      </w:r>
    </w:p>
    <w:p>
      <w:r>
        <w:t xml:space="preserve">2. Gebote oder Verbote betreffend den Kontakt zu anderen Hochschulmitgliedern oder -angehörigen,</w:t>
      </w:r>
    </w:p>
    <w:p>
      <w:r>
        <w:t xml:space="preserve">3. der Entzug der Weisungsbefugnis gegenüber Beschäftigten,</w:t>
      </w:r>
    </w:p>
    <w:p>
      <w:r>
        <w:t xml:space="preserve">4. der vollständige oder teilweise Entzug der Lehr- und Prüfungsbefugnis,</w:t>
      </w:r>
    </w:p>
    <w:p>
      <w:r>
        <w:t xml:space="preserve">5. der vollständige oder teilweise Widerruf der Zusagen über die nach § 37 Absatz 3 oder in sonstiger Weise gewährte Ausstattung,</w:t>
      </w:r>
    </w:p>
    <w:p>
      <w:r>
        <w:t xml:space="preserve">6. der Ausspruch, für die Dauer von zwei bis fünf Jahren</w:t>
      </w:r>
    </w:p>
    <w:p>
      <w:r>
        <w:t xml:space="preserve">a) die Fähigkeit zu verlieren, Funktionen in der Selbstverwaltung der Hochschule zu bekleiden und solche Funktionen durch Wahlen zu erlangen, sowie</w:t>
      </w:r>
    </w:p>
    <w:p>
      <w:r>
        <w:t xml:space="preserve">b) das Recht zu verlieren, in der Hochschule zu wählen oder zu stimmen.</w:t>
      </w:r>
    </w:p>
    <w:p>
      <w:r>
        <w:t xml:space="preserve">Mit dem Verlust der Fähigkeit nach Satz 2 Nummer 6 Buchstabe a verliert der Maßnahmenadressat zugleich sämtliche Funktionen, die er in der Selbstverwaltung innehat. Satz 3 findet auf hauptberufliche Rektoratsmitglieder sowie auf die Dekanin oder den Dekan, die oder der hauptberuflich tätig ist, keine Anwendung.</w:t>
      </w:r>
    </w:p>
    <w:p>
      <w:r>
        <w:t xml:space="preserve">(4) Die Entscheidung über die Verhängung der einzelnen Integritätsmaßnahme, auch hinsichtlich ihrer Dauer, ergeht nach pflichtgemäßem Ermessen durch Integritätsverfügung. Für die Ausübung des Ermessens gilt § 13 Absatz 2 Satz 2 bis 4 des Landesdisziplinargesetzes entsprechend.</w:t>
      </w:r>
    </w:p>
    <w:p>
      <w:r>
        <w:t xml:space="preserve">(5) Ist eine Hochschullehrerin oder ein Hochschullehrer nach den dienstrechtlichen Bestimmungen beurlaubt oder an eine andere Stelle abgeordnet, bleiben ihre oder seine Pflichten, die einen Integritätsverstoß nach Absatz 2 begründen können, in der Hochschule bestehen.</w:t>
      </w:r>
    </w:p>
    <w:p>
      <w:r>
        <w:t xml:space="preserve">(6) Wird ein Integritätsverstoß durch eine Hochschullehrerin oder einen Hochschullehrer in der Funktion als Mitglied oder Angehöriger des Promotionskollegs für angewandte Forschung der Hochschulen für angewandte Wissenschaften in Nordrhein-Westfalen begangen, so gilt dieser als in ihrer oder seiner Funktion als Hochschullehrerin oder Hochschullehrer der jeweiligen Hochschule begangen.</w:t>
      </w:r>
    </w:p>
    <w:p>
      <w:r>
        <w:t xml:space="preserve">(7) Sind seit der Vollendung des Integritätsverstoßes mehr als drei Jahre vergangen, darf eine Integritätsmaßnahme nicht mehr verhängt werden. § 88 Absatz 1 Satz 4 bleibt unberührt.</w:t>
      </w:r>
    </w:p>
    <w:p>
      <w:r>
        <w:t xml:space="preserve">(8) Für den Fall, dass die verletzte Person eine Doktorandin oder ein Doktorand ist, trifft die Universität oder das Promotionskolleg für angewandte Forschung der Hochschulen für angewandte Wissenschaften in Nordrhein-Westfalen angemessene Vorkehrungen, dass das Promotionsvorhaben durch die Einleitung des Integritäts- und des Disziplinarverfahrens nicht gefährdet wird.</w:t>
      </w:r>
    </w:p>
    <w:p>
      <w:r>
        <w:rPr>
          <w:color w:val="555555"/>
          <w:sz w:val="17"/>
        </w:rPr>
        <w:t xml:space="preserve">Zitiervorschlag: § 87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https://recht.nulegal.eu/gesetze/HG/87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