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HG (Nordrhein-Westfalen) — Fachbereichsrat; Studienbeirat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Fachbereichsrat obliegt die Beschlussfassung über die Angelegenheiten des Fachbereichs, für die nicht die Zuständigkeit der Dekanin oder des Dekans oder eine andere Zuständigkeit bestimmt ist. Er ist insoweit in allen Forschung, Kunst und Lehre betreffenden Angelegenheiten und für die Beschlussfassung über die Fachbereichsordnung und die sonstigen Ordnungen für den Fachbereich zuständig. Er nimmt die Berichte der Dekanin oder des Dekans entgegen und kann über die Angelegenheiten des Fachbereichs Auskunft verlangen.</w:t>
      </w:r>
    </w:p>
    <w:p>
      <w:r>
        <w:t xml:space="preserve">(2) Stimmberechtigte Mitglieder des Fachbereichsrats sind insgesamt höchstens 15 Vertreterinnen oder Vertreter der Gruppen im Sinne des § 11 Absatz 1 nach Maßgabe der Grundordnung, die auch die Amtszeit bestimmt.</w:t>
      </w:r>
    </w:p>
    <w:p>
      <w:r>
        <w:t xml:space="preserve">(3) Nichtstimmberechtigte Mitglieder des Fachbereichsrates sind die Dekanin oder der Dekan und die Prodekanin oder der Prodekan, im Fall des § 27 Absatz 6 das Dekanat.</w:t>
      </w:r>
    </w:p>
    <w:p>
      <w:r>
        <w:t xml:space="preserve">(4) Die Grundordnung regelt den Vorsitz im Fachbereichsrat.</w:t>
      </w:r>
    </w:p>
    <w:p>
      <w:r>
        <w:t xml:space="preserve">(5) Bei der Beratung über Berufungsvorschläge von Professorinnen und Professoren sind alle Professorinnen und Professoren innerhalb der Mitglieder der Gruppe der Hochschullehrerinnen und Hochschullehrer, die Mitglieder des Fachbereichs sind, ohne Stimmrecht teilnahmeberechtigt; gleiches gilt für alle Mitglieder der Gruppe der Hochschullehrerinnen und Hochschullehrer bei der Beratung über sonstige Berufungsvorschläge und über Promotionsordnungen. § 38 Absatz 4 bleibt unberührt.</w:t>
      </w:r>
    </w:p>
    <w:p>
      <w:r>
        <w:t xml:space="preserve">(6) Für die Entscheidung bestimmter Angelegenheiten, die mehrere Fachbereiche berühren und eine aufeinander abgestimmte Wahrnehmung erfordern, sollen die beteiligten Fachbereichsräte gemeinsame Ausschüsse bilden. Absatz 5 und § 12 Absatz 1 Satz 4 und 5 gelten entsprechend.</w:t>
      </w:r>
    </w:p>
    <w:p>
      <w:r>
        <w:t xml:space="preserve">(7) § 22 Absatz 3 gilt entsprechend.</w:t>
      </w:r>
    </w:p>
    <w:p>
      <w:r>
        <w:t xml:space="preserve">(8) In Angelegenheiten der Lehre und des Studiums, insbesondere in Angelegenheiten der Studienreform, der Evaluation von Studium und Lehre, sowie hinsichtlich des Erlasses oder der Änderung von Prüfungsordnungen, werden der Fachbereichsrat sowie die Dekanin oder der Dekan von dem Studienbeirat des Fachbereichs beraten. Der Studienbeirat besteht in seiner einen Hälfte aus der Person als Vorsitz, die die Aufgaben nach § 26 Absatz 2 Satz 4 wahrnimmt, und Vertreterinnen und Vertretern der Gruppen im Sinne des § 11 Absatz 1 Satz 1 und 3, soweit sie Lehraufgaben wahrnehmen, sowie in seiner anderen Hälfte aus Vertreterinnen und Vertretern der Gruppe im Sinne des § 11 Absatz 1 Satz 1 Nummer 4. Die Stimmen der beiden Hälften stehen im gleichen Verhältnis zueinander. Das Nähere zum Studienbeirat, insbesondere zur Stimmgewichtung, regelt die Fachbereichsordnung.</w:t>
      </w:r>
    </w:p>
    <w:p>
      <w:r>
        <w:rPr>
          <w:color w:val="555555"/>
          <w:sz w:val="17"/>
        </w:rPr>
        <w:t xml:space="preserve">Zitiervorschlag: § 28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