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HG (Nordrhein-Westfalen) — Senat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Senat ist für die nachfolgend aufgeführten Angelegenheiten zuständig:</w:t>
      </w:r>
    </w:p>
    <w:p>
      <w:r>
        <w:t xml:space="preserve">1. die Mitwirkung durch seine Mitglieder in der Hochschulwahlversammlung an der Wahl und Abwahl der Mitglieder des Rektorats;</w:t>
      </w:r>
    </w:p>
    <w:p>
      <w:r>
        <w:t xml:space="preserve">2. Stellungnahme zum jährlichen Bericht des Rektorats;</w:t>
      </w:r>
    </w:p>
    <w:p>
      <w:r>
        <w:t xml:space="preserve">3. Erlass und Änderung der Grundordnung, von Rahmenordnungen, auch Rahmenprüfungsordnungen, und Ordnungen der Hochschule, soweit dieses Gesetz nichts anderes bestimmt;</w:t>
      </w:r>
    </w:p>
    <w:p>
      <w:r>
        <w:t xml:space="preserve">4. Billigung von Planungsgrundsätzen im Sinne von § 16 Absatz 1a Satz 1;</w:t>
      </w:r>
    </w:p>
    <w:p>
      <w:r>
        <w:t xml:space="preserve">5. Empfehlungen und Stellungnahmen zum Entwurf des Hochschulentwicklungsplans nach § 16 Absatz 1a und des Hochschulvertrags nach § 6 Absatz 2, zu den Evaluationsberichten nach § 7 Absatz 2 und 3, zum Wirtschaftsplan, zu den Grundsätzen der Verteilung der Stellen und Mittel auf die Fachbereiche, zentralen wissenschaftlichen Einrichtungen, zentralen Betriebseinheiten und der Medizinischen Einrichtungen;</w:t>
      </w:r>
    </w:p>
    <w:p>
      <w:r>
        <w:t xml:space="preserve">6. Empfehlungen und Stellungnahmen in Angelegenheiten der Forschung, Kunst, Lehre und des Studiums, die die gesamte Hochschule oder zentrale Einrichtungen betreffen oder von grundsätzlicher Bedeutung sind.</w:t>
      </w:r>
    </w:p>
    <w:p>
      <w:r>
        <w:t xml:space="preserve">Die Grundordnung wird mit einer Mehrheit von zwei Dritteln der Stimmen des Gremiums beschlossen. Die Grundordnung kann vorsehen, dass der Berufungsvorschlag zur Besetzung einer Professur im Sinne des § 38 Absatz 3 der Zustimmung des Senats bedarf.</w:t>
      </w:r>
    </w:p>
    <w:p>
      <w:r>
        <w:t xml:space="preserve">(2) Das Nähere zur Zusammensetzung, zur Amtszeit und zum Vorsitz regelt die Grundordnung. Nichtstimmberechtigte Mitglieder des Senats sind die Rektorin oder der Rektor, die Prorektorinnen oder Prorektoren, die Kanzlerin oder der Kanzler, die Dekaninnen oder Dekane, die Vertrauensperson der schwerbehinderten Menschen, die oder der Beauftragte für Studierende mit Behinderungen oder chronischer Erkrankung, die oder der Vorsitzende des Personalrats und des Personalrats nach § 105 des Landespersonalvertretungsgesetzes und der Vorsitz des Allgemeinen Studierendenausschusses sowie nach Maßgabe der Grundordnung weitere nichtstimmberechtigte Mitglieder. Die Stimmen der Vertreterinnen oder Vertreter der Gruppen im Sinne des § 11 Absatz 1 Satz 1 stehen im gleichen Verhältnis zueinander, es sei denn, es liegt eine Regelung in der Grundordnung vor, mit der eine Berücksichtigung der Interessen der Mitglieder der Gruppen nach § 11 Absatz 1 Satz 1 Nummer 2 bis 4 bei den Beratungen und Entscheidungen des Senats im Rahmen seiner Aufgaben und Befugnisse angemessen sichergestellt ist und das Ministerium dies schriftlich gegenüber der Hochschule festgestellt hat. Bei einem Beschluss über eine Regelung in der Grundordnung nach Satz 3 stehen die Stimmen der Vertreterinnen oder Vertreter der Gruppen im Sinne des § 11 Absatz 1 Satz 1 im gleichen Verhältnis zueinander.</w:t>
      </w:r>
    </w:p>
    <w:p>
      <w:r>
        <w:t xml:space="preserve">(3) Soweit der Senat nach diesem Gesetz an Entscheidungen des Rektorats mitwirkt, können die dem Senat angehörenden Vertreterinnen oder Vertreter einer Gruppe gemäß § 11 Absatz 1 dem Rektorat ein vom Senatsbeschluss abweichendes einstimmiges Votum vorlegen, über welches das Rektorat vor seiner Entscheidung zu beraten hat. Auf Verlangen ist das Votum gemeinsam mündlich zu erörtern.</w:t>
      </w:r>
    </w:p>
    <w:p>
      <w:r>
        <w:t xml:space="preserve">(4) Falls auf der Grundlage einer Regelung die Vertreterinnen und Vertreter der Gruppe der Hochschullehrerinnen und Hochschullehrer im Senat nicht über die Mehrheit der Stimmen verfügen, verfügen diese Vertreterinnen und Vertreter gleichwohl über die Mehrheit der Stimmen der Mitglieder des Senats</w:t>
      </w:r>
    </w:p>
    <w:p>
      <w:r>
        <w:t xml:space="preserve">1. bei der Wahl der Mitglieder des Senats in der Findungskommission nach § 17 Absatz 3,</w:t>
      </w:r>
    </w:p>
    <w:p>
      <w:r>
        <w:t xml:space="preserve">2. bei der Billigung von Planungsgrundsätzen nach § 16 Absatz 1a Satz 1,</w:t>
      </w:r>
    </w:p>
    <w:p>
      <w:r>
        <w:t xml:space="preserve">3. bei dem Erlass von Ordnungen, die inhaltliche Rahmenbedingungen der Forschung regeln,</w:t>
      </w:r>
    </w:p>
    <w:p>
      <w:r>
        <w:t xml:space="preserve">4. bei dem Beschluss über die Aufforderung nach § 17 Absatz 1 Satz 6,</w:t>
      </w:r>
    </w:p>
    <w:p>
      <w:r>
        <w:t xml:space="preserve">5. bei der Beschlussfassung nach § 17 Absatz 4 Satz 2 und</w:t>
      </w:r>
    </w:p>
    <w:p>
      <w:r>
        <w:t xml:space="preserve">6. bei der Beschlussfassung nach § 17a Absatz 6.</w:t>
      </w:r>
    </w:p>
    <w:p>
      <w:r>
        <w:t xml:space="preserve">Sie verfügen in der Hochschulwahlversammlung über die Mehrheit der Stimmen derjenigen ihrer Mitglieder, die zugleich stimmberechtigte Mitglieder des Senats sind. Sie verfügen im Senat mindestens über die Hälfte der Stimmen seiner Mitglieder beim Erlass von Rahmenprüfungsordnungen. Die entsprechenden Regelungen zu der Stimmverteilung sind durch die Grundordnung oder nach Maßgabe der Grundordnung zu treffen. § 11 Absatz 3 bleibt unberührt.</w:t>
      </w:r>
    </w:p>
    <w:p>
      <w:r>
        <w:rPr>
          <w:color w:val="555555"/>
          <w:sz w:val="17"/>
        </w:rPr>
        <w:t xml:space="preserve">Zitiervorschlag: § 22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