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HG (Nordrhein-Westfalen) — Die Rechtsstellung der hauptberuflichen Mitglieder des Rektorats</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Hauptberufliche Mitglieder des Rektorats können in ein Beamtenverhältnis auf Zeit berufen oder in einem befristeten privatrechtlichen Dienstverhältnis beschäftigt werden. Die Vorschriften über die Laufbahnen sind nicht anzuwenden.</w:t>
      </w:r>
    </w:p>
    <w:p>
      <w:r>
        <w:t xml:space="preserve">(2) Steht die Gewählte oder der Gewählte in einem Beamtenverhältnis auf Lebenszeit zu einer der Hochschulen nach § 1 Absatz 2 oder zum Land, ruhen die Rechte und Pflichten aus dem Beamtenverhältnis auf Lebenszeit; die Berechtigung zur Forschung und Lehre bleibt unberührt. Steht sie oder er in einem unbefristeten privatrechtlichen Dienstverhältnis zu einer der Hochschulen nach § 1 Absatz 2 oder zum Land, dauert auch dieses Beschäftigungsverhältnis fort; § 16 Absatz 4 des Landesbeamtengesetzes ist nicht anwendbar. Die Rechte und Pflichten aus dem privatrechtlichen Dienstverhältnis ruhen; Satz 1 Halbsatz 2 findet entsprechende Anwendung.</w:t>
      </w:r>
    </w:p>
    <w:p>
      <w:r>
        <w:t xml:space="preserve">(3) Für hauptberufliche Rektoratsmitglieder, die in ein Beamtenverhältnis auf Zeit berufen worden sind, gilt § 31 Absatz 3 des Landesbeamtengesetzes im Fall der Abwahl entsprechend. Das privatrechtliche Dienstverhältnis, in dem Rechte und Pflichten als hauptamtliches Rektoratsmitglied geregelt sind, ist im Fall der Abwahl zu kündigen.</w:t>
      </w:r>
    </w:p>
    <w:p>
      <w:r>
        <w:t xml:space="preserve">(4) Hauptberufliche Rektoratsmitglieder sind, soweit andere Gesetze oder Verordnungen nicht etwas anderes bestimmen, im Falle ihres Rücktritts oder nach Ablauf oder nach einer sonstigen Beendigung ihrer Amtszeit verpflichtet, das Amt bis zur Ernennung einer Nachfolgerin oder eines Nachfolgers, längstens jedoch für drei Jahre, weiterzuführen. Dies gilt nicht, wenn das Gremium, welches sie oder ihn gewählt hat, entscheidet, von der Weiterführung abzusehen. Sie sind aus dem Beamtenverhältnis auf Zeit zu entlassen, wenn sie ihrer Verpflichtung zur Weiterführung des Amtes nicht nachkommen. § 4 Satz 5 des Landesbeamtengesetzes bleibt unberührt; die §§ 31 und 32 des Landesbeamtengesetzes finden in den Fällen des Satzes 1 bis zur Ernennung einer Nachfolgerin oder eines Nachfolgers, längstens jedoch drei Jahre nach Erreichen der Regelaltersgrenze, keine Anwendung. Die Hochschule ergreift in den Fällen des Satzes 1 unverzüglich die erforderlichen Maßnahmen mit Blick auf die Ernennung einer Nachfolgerin oder eines Nachfolgers.</w:t>
      </w:r>
    </w:p>
    <w:p>
      <w:r>
        <w:t xml:space="preserve">(5) Die Hochschule kann insbesondere diejenigen, die als hauptberufliche Rektoratsmitglieder nicht zugleich in einem Beamtenverhältnis auf Lebenszeit oder einem unbefristeten privatrechtlichen Dienstverhältnis gemäß Absatz 2 stehen, nach Beendigung der Amtszeit in den Hochschuldienst übernehmen. Dies kann auch Gegenstand einer Zusage vor Amtsantritt sein.</w:t>
      </w:r>
    </w:p>
    <w:p>
      <w:r>
        <w:t xml:space="preserve">(6) Die Hochschule veröffentlicht jährlich an geeigneter Stelle die für die Tätigkeit im Haushaltsjahr gewährten Bezüge jedes einzelnen hauptberuflichen Rektoratsmitglieds unter Namensnennung.</w:t>
      </w:r>
    </w:p>
    <w:p>
      <w:r>
        <w:rPr>
          <w:color w:val="555555"/>
          <w:sz w:val="17"/>
        </w:rPr>
        <w:t xml:space="preserve">Zitiervorschlag: § 20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