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HG (Nordrhein-Westfalen) — Die Kanzlerin oder der Kanzler</w:t>
      </w:r>
    </w:p>
    <w:p>
      <w:r>
        <w:rPr>
          <w:color w:val="555555"/>
          <w:sz w:val="18"/>
        </w:rPr>
        <w:t xml:space="preserve">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Bewirtschaftung der Haushaltsmittel obliegt der Kanzlerin oder dem Kanzler; sie oder er kann die Bewirtschaftung auf die Fachbereiche, zentralen wissenschaftlichen Einrichtungen und zentralen Betriebseinheiten unbeschadet ihrer oder seiner Verantwortung nach den einschlägigen landesrechtlichen Bestimmungen übertragen.</w:t>
      </w:r>
    </w:p>
    <w:p>
      <w:r>
        <w:t xml:space="preserve">(2) Sie oder er kann hinsichtlich der Wirtschaftsführung Entscheidungen des Rektorats mit aufschiebender Wirkung widersprechen. Kommt keine Einigung zustande, so berichtet das Rektorat dem Hochschulrat, welcher eine Entscheidung herbeiführt.</w:t>
      </w:r>
    </w:p>
    <w:p>
      <w:r>
        <w:rPr>
          <w:color w:val="555555"/>
          <w:sz w:val="17"/>
        </w:rPr>
        <w:t xml:space="preserve">Zitiervorschlag: § 19 HG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https://recht.nulegal.eu/gesetze/HG/19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