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HG (Nordrhein-Westfalen) — Zusammensetzung der Gremien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Vertretung in den Gremien bilden</w:t>
      </w:r>
    </w:p>
    <w:p>
      <w:r>
        <w:t xml:space="preserve">1. die Professorinnen und Professoren, Hochschuldozentinnen und Hochschuldozenten, Juniorprofessorinnen und Juniorprofessoren, Tandemprofessorinnen und Tandemprofessoren (Gruppe der Hochschullehrerinnen und Hochschullehrer),</w:t>
      </w:r>
    </w:p>
    <w:p>
      <w:r>
        <w:t xml:space="preserve">2. die wissenschaftlichen und künstlerischen Mitarbeiterinnen und Mitarbeiter an Universitäten und an Hochschulen für angewandte Wissenschaften sowie die Lehrkräfte für besondere Aufgaben (Gruppe der akademischen Mitarbeiterinnen und Mitarbeiter),</w:t>
      </w:r>
    </w:p>
    <w:p>
      <w:r>
        <w:t xml:space="preserve">3. die Mitarbeiterinnen und Mitarbeiter in Technik und Verwaltung sowie die hauptberuflich an der Hochschule tätigen Personen mit ärztlichen, zahnärztlichen oder tierärztlichen Aufgaben, die auf Grund ihrer dienstrechtlichen Stellung nicht zur Gruppe nach Satz 1 Nummer 1 oder 2 zählen (Gruppe der Mitarbeiterinnen und Mitarbeiter in Technik und Verwaltung) und</w:t>
      </w:r>
    </w:p>
    <w:p>
      <w:r>
        <w:t xml:space="preserve">4. die Doktorandinnen und Doktoranden, soweit sie nicht Beschäftigte im Sinne von Nummer 2 oder 3 sind, und die Studierenden (Gruppe der Studierenden)</w:t>
      </w:r>
    </w:p>
    <w:p>
      <w:r>
        <w:t xml:space="preserve">jeweils eine Gruppe. Soweit in einem Gremium als Vertreterinnen und Vertreter der Gruppe nach Satz 1 Nummer 2 ausschließlich Lehrkräfte für besondere Aufgaben und wissenschaftliche Mitarbeiterinnen und Mitarbeiter an Hochschulen für angewandte Wissenschaften vertreten sein können, soll die Zahl der jeweiligen Vertreterinnen und Vertreter in einem angemessenen Verhältnis stehen. Die Grundordnung von Universitäten kann die Bildung einer Gruppe der Doktorandinnen und Doktoranden für Fachbereiche oder für Organisationseinheiten im Sinne des § 26 Absatz 5 vorsehen; wenn und soweit die Grundordnung eine derartige Bildung vorsieht, gelten Absatz 2 Satz 1 mit der Maßgabe, dass eine Vertretung der fünf Mitgliedergruppen jeweils erforderlich ist, § 26 Absatz 4 mit der Maßgabe, dass die Doktorandinnen und Doktoranden Mitglied des Fachbereichs werden, bei dem das Promotionsstudium durchgeführt wird, sowie § 27 Absatz 6 mit der Maßgabe, dass die Amtszeit für ein Mitglied aus der Gruppe der Doktorandinnen und Doktoranden ein Jahr beträgt.</w:t>
      </w:r>
    </w:p>
    <w:p>
      <w:r>
        <w:t xml:space="preserve">(2) Soweit dieses Gesetz keine andere Regelung enthält, müssen in den Gremien mit Entscheidungsbefugnissen alle Mitgliedergruppen nach Absatz 1 Satz 1 Nummer 1 bis 4 vertreten sein; sie wirken nach Maßgabe von Satz 2 grundsätzlich stimmberechtigt an den Entscheidungen der Gremien mit. Art und Umfang der Mitwirkung der einzelnen Mitgliedergruppen und innerhalb dieser Mitgliedergruppen der Hochschule sowie die zahlenmäßige Zusammensetzung der Gremien bestimmen sich nach deren Aufgabe sowie nach der fachlichen Gliederung der Hochschule und der Qualifikation, Funktion, Verantwortung und Betroffenheit der Mitglieder der Hochschule; die Grundordnung kann die Bildung von Untergruppen vorsehen. Die Mitgliedschaft in einem Gremium wird durch einen Wechsel der Gruppenzugehörigkeit eines Mitglieds nicht berührt; dieses bleibt Mitglied der Gruppe, für die es gewählt wurde. In Gremien mit Entscheidungsbefugnissen in Angelegenheiten, die die Lehre mit Ausnahme ihrer Bewertung (§ 7 Absatz 2) unmittelbar betreffen, verfügen die Vertreterinnen oder Vertreter der Gruppe nach Absatz 1 Satz 1 Nummer 1 mindestens über die Hälfte der Stimmen, in Angelegenheiten, die die Forschung, Kunst und Berufung von Professorinnen und Professoren unmittelbar betreffen, über die Mehrheit der Stimmen der Mitglieder des Gremiums; in Gremien mit Beratungsbefugnissen bedarf es dieser Stimmenverhältnisse in der Regel nicht. Soweit dieses Gesetz nichts anderes bestimmt, sind die entsprechenden Regelungen durch die Grundordnung oder nach Maßgabe der Grundordnung zu treffen.</w:t>
      </w:r>
    </w:p>
    <w:p>
      <w:r>
        <w:t xml:space="preserve">(3) In Angelegenheiten der Lehre, Forschung und Kunst, insbesondere bei den wissenschaftsrelevanten Entscheidungen nach § 22 Absatz 4, haben die einem Gremium angehörenden Mitglieder der Gruppe der Mitarbeiterinnen und Mitarbeiter in Technik und Verwaltung Stimmrecht, soweit sie entsprechende Funktionen in der Hochschule wahrnehmen und über besondere Erfahrungen im jeweiligen Bereich verfügen. Über das Vorliegen der Voraussetzungen nach Satz 1 entscheidet die oder der Vorsitzende des Gremiums zu Beginn der Amtszeit des Gremienmitgliedes und in Zweifelsfällen das Rektorat.</w:t>
      </w:r>
    </w:p>
    <w:p>
      <w:r>
        <w:rPr>
          <w:color w:val="555555"/>
          <w:sz w:val="17"/>
        </w:rPr>
        <w:t xml:space="preserve">Zitiervorschlag: § 11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