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HG 2026 — Ausbringung von Ersatzplanstellen und Ersatzstellen</w:t>
      </w:r>
    </w:p>
    <w:p>
      <w:r>
        <w:rPr>
          <w:color w:val="555555"/>
          <w:sz w:val="18"/>
        </w:rPr>
        <w:t xml:space="preserve">Haushaltsgesetz 2026</w:t>
      </w:r>
    </w:p>
    <w:p>
      <w:r>
        <w:rPr>
          <w:color w:val="555555"/>
          <w:sz w:val="18"/>
        </w:rPr>
        <w:t xml:space="preserve">Stand: 01.01.2026 (konsolidierte Textfassung, kein amtliches Inkrafttretensdatum)</w:t>
      </w:r>
    </w:p>
    <w:p>
      <w:r>
        <w:t xml:space="preserve">(1) Soweit ein unabweisbarer Bedarf besteht, einen Dienstposten wiederzubesetzen, gilt eine Planstelle für die Beamtin oder den Beamten, die oder der als Ersatzkraft die Funktion wahrnehmen soll, als ausgebracht, wenn die bisherige Inhaberin oder der bisherige Inhaber des Dienstpostens</w:t>
      </w:r>
    </w:p>
    <w:p>
      <w:pPr>
        <w:ind w:left="420"/>
      </w:pPr>
      <w:r>
        <w:t xml:space="preserve">1. nach § 14 des Deutschen Richtergesetzes in einem Land als Richterin oder Richter kraft Auftrags verwendet werden soll oder</w:t>
      </w:r>
    </w:p>
    <w:p>
      <w:pPr>
        <w:ind w:left="420"/>
      </w:pPr>
      <w:r>
        <w:t xml:space="preserve">2. mindestens sechs Monate im Rahmen der internationalen Zusammenarbeit ohne Wegfall der Dienstbezüge verwendet oder auf eine entsprechende Verwendung vorbereitet werden soll.</w:t>
      </w:r>
    </w:p>
    <w:p>
      <w:r>
        <w:t xml:space="preserve">Die Planstelle ist bis zur Rückkehr der bisherigen Inhaberin oder des bisherigen Inhabers des Dienstpostens befristet und hat die Wertigkeit der Besoldungsgruppe der Beamtin oder des Beamten, die oder der als Ersatzkraft die Funktion wahrnehmen soll; die Wertigkeit der Planstelle der bisherigen Inhaberin oder des bisherigen Inhabers des Dienstpostens wird nicht überschritten.</w:t>
      </w:r>
    </w:p>
    <w:p>
      <w:r>
        <w:t xml:space="preserve">(2) Absatz 1 gilt entsprechend für Richterinnen und Richter, Soldatinnen und Soldaten sowie für Arbeitnehmerinnen und Arbeitnehmer.</w:t>
      </w:r>
    </w:p>
    <w:p>
      <w:r>
        <w:rPr>
          <w:color w:val="555555"/>
          <w:sz w:val="17"/>
        </w:rPr>
        <w:t xml:space="preserve">Zitiervorschlag: § 19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HG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