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HG 2026 — Rückzahlung, Titelverwechslung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Die Rückzahlung zu viel erhobener Einnahmen kann aus dem jeweiligen Einnahmetitel geleistet werden und ist dann bei dem betreffenden Einnahmetitel abzusetzen.</w:t>
      </w:r>
    </w:p>
    <w:p>
      <w:r>
        <w:t xml:space="preserve">(2) Bei einer unrichtigen Zahlung, bei Doppelzahlungen oder Überzahlungen darf die Rückzahlung, soweit § 6 gilt, stets von der Ausgabe abgesetzt werden, im Übrigen nur, wenn die Bücher noch nicht abgeschlossen sind. Die Rückzahlung zu viel geleisteter Personalausgaben ist stets beim jeweiligen Ausgabetitel abzusetzen.</w:t>
      </w:r>
    </w:p>
    <w:p>
      <w:r>
        <w:t xml:space="preserve">(3) Titelverwechslungen dürfen nur berichtigt werden, solange die Bücher noch nicht abgeschlossen sind.</w:t>
      </w:r>
    </w:p>
    <w:p>
      <w:r>
        <w:rPr>
          <w:color w:val="555555"/>
          <w:sz w:val="17"/>
        </w:rPr>
        <w:t xml:space="preserve">Zitiervorschlag: § 14 HG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https://recht.nulegal.eu/gesetze/HG%202026/14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