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HG 2025 — Bezüge</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Abweichend von § 50 Absatz 3 der Bundeshaushaltsordnung können die Personalausgaben für abgeordnete Beschäftigte für die Dauer von bis zu drei Jahren von der abordnenden Verwaltung weitergezahlt werden. Weiterzahlungen über drei Jahre hinaus bedürfen, sofern sie nicht durch Haushaltsvermerk geregelt sind, der Einwilligung des Bundesministeriums der Finanzen.</w:t>
      </w:r>
    </w:p>
    <w:p>
      <w:r>
        <w:t xml:space="preserve">(2) Innerhalb eines Kapitels dürfen Zulagen nach § 45 des Bundesbesoldungsgesetzes für Beamtinnen und Beamte bis zur Höhe von 0,1 Prozent der veranschlagten Ausgaben der Titel 422 .1 geleistet werden. Dabei ist die mögliche Höhe der Zulagen für Ausgaben der Bereichsausnahme nach § 1a Absatz 1 des Artikel 115-Gesetzes und Ausgaben außerhalb der Bereichsausnahme nach § 1a Absatz 3 des Artikel 115-Gesetzes getrennt zu berechnen. Innerhalb der Kapitel 1403 und 1412 dürfen Zulagen nach § 45 des Bundesbesoldungsgesetzes für Soldatinnen und Soldaten bis zur Höhe von 0,1 Prozent der veranschlagten Ausgaben des Titels 423 01 geleistet werden.</w:t>
      </w:r>
    </w:p>
    <w:p>
      <w:r>
        <w:t xml:space="preserve">(3) Soweit Soldatinnen und Soldaten Leistungsprämien, Leistungszulagen oder Leistungsstufen gewährt werden, sind die Titel der Gruppe 423 der Kapitel 1403 und 1412 gegenseitig deckungsfähig.</w:t>
      </w:r>
    </w:p>
    <w:p>
      <w:r>
        <w:t xml:space="preserve">(4) Die obersten Bundesbehörden werden ermächtigt, Zuschüsse für ein Jobticket für Beschäftigte und Auszubildende in Höhe von bis zu 40 Euro monatlich, höchstens jedoch in Höhe der hälftigen durchschnittlichen monatlichen Jahresticketkosten bei Bezug eines 12-Monats-Abonnements, aus den Titeln der Gruppen 422, 423, 427 und 428 zu leisten. Das Nähere regelt das Bundesministerium des Innern im Einvernehmen mit dem Bundesministerium der Finanzen.</w:t>
      </w:r>
    </w:p>
    <w:p>
      <w:r>
        <w:t xml:space="preserve">(5) Der Zuschuss nach Absatz 4 kann alternativ auch für den Kauf, die Miete oder das private Leasing eines Fahrrads (e-Bike sowie Fahrrad) für Beschäftigte und Auszubildende geleistet werden.</w:t>
      </w:r>
    </w:p>
    <w:p>
      <w:r>
        <w:rPr>
          <w:color w:val="555555"/>
          <w:sz w:val="17"/>
        </w:rPr>
        <w:t xml:space="preserve">Zitiervorschlag: § 11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