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HG 2024 — Fortgeltung</w:t>
      </w:r>
    </w:p>
    <w:p>
      <w:r>
        <w:rPr>
          <w:color w:val="555555"/>
          <w:sz w:val="18"/>
        </w:rPr>
        <w:t xml:space="preserve">Haushaltsgesetz 2024</w:t>
      </w:r>
    </w:p>
    <w:p>
      <w:r>
        <w:rPr>
          <w:color w:val="555555"/>
          <w:sz w:val="18"/>
        </w:rPr>
        <w:t xml:space="preserve">Historische Fassung: Stand 15.02.2024 bis 13.04.2025. Dies ist nicht die aktuelle Fassung.</w:t>
      </w:r>
    </w:p>
    <w:p>
      <w:r>
        <w:t xml:space="preserve">§ 2 Absatz 2 Satz 3 und 4, Absatz 4 und 5 sowie die §§ 3 bis 20 gelten bis zum Tag der Verkündung des Haushaltsgesetzes des folgenden Haushaltsjahres weiter.</w:t>
      </w:r>
    </w:p>
    <w:p>
      <w:r>
        <w:rPr>
          <w:color w:val="555555"/>
          <w:sz w:val="17"/>
        </w:rPr>
        <w:t xml:space="preserve">Zitiervorschlag: § 21 HG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https://recht.nulegal.eu/gesetze/HG%202024/21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