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HG 2024 — Feststellung des Haushaltsplans</w:t>
      </w:r>
    </w:p>
    <w:p>
      <w:r>
        <w:rPr>
          <w:color w:val="555555"/>
          <w:sz w:val="18"/>
        </w:rPr>
        <w:t xml:space="preserve">Haushaltsgesetz 2024</w:t>
      </w:r>
    </w:p>
    <w:p>
      <w:r>
        <w:rPr>
          <w:color w:val="555555"/>
          <w:sz w:val="18"/>
        </w:rPr>
        <w:t xml:space="preserve">Historische Fassung: Stand 15.02.2024 bis 13.04.2025. Dies ist nicht die aktuelle Fassung.</w:t>
      </w:r>
    </w:p>
    <w:p>
      <w:r>
        <w:t xml:space="preserve">(1) Der diesem Gesetz als Anlage beigefügte Bundeshaushaltsplan für das Haushaltsjahr 2024 wird in Einnahmen und Ausgaben auf 476 807 656 000 Euro festgestellt.</w:t>
      </w:r>
    </w:p>
    <w:p>
      <w:r>
        <w:t xml:space="preserve">(2) Der dem Kapitel 1405 des Bundeshaushalts für das Haushaltsjahr 2024 als Anlage 1 beigefügte Wirtschaftsplan des Sondervermögens „Bundeswehr“ wird für das Jahr 2024 in Einnahmen und Ausgaben auf 19 799 823 000 Euro festgestellt.</w:t>
      </w:r>
    </w:p>
    <w:p>
      <w:r>
        <w:t xml:space="preserve">(3) Der dem Kapitel 6002 des Bundeshaushalts für das Haushaltsjahr 2024 als Anlage 6 beigefügte Wirtschaftsplan des Sondervermögens „Aufbauhilfe 2021“ wird für das Jahr 2024 in Einnahmen und Ausgaben auf 2 657 638 000 Euro festgestellt.</w:t>
      </w:r>
    </w:p>
    <w:p>
      <w:r>
        <w:t xml:space="preserve">(4) Der dem Kapitel 6002 des Bundeshaushalts für das Haushaltsjahr 2024 als Anlage 2 beigefügte Wirtschaftsplan des Sondervermögens „Digitale Infrastruktur“ wird für das Jahr 2024 in Einnahmen und Ausgaben auf 4 071 844 000 Euro festgestellt.</w:t>
      </w:r>
    </w:p>
    <w:p>
      <w:r>
        <w:t xml:space="preserve">(5) Der dem Kapitel 6002 des Bundeshaushalts für das Haushaltsjahr 2024 als Anlage 3 beigefügte Wirtschaftsplan des Sondervermögens „Klima- und Transformationsfonds“ wird für das Jahr 2024 in Einnahmen und Ausgaben auf 49 454 354 000 Euro festgestellt.</w:t>
      </w:r>
    </w:p>
    <w:p>
      <w:r>
        <w:rPr>
          <w:color w:val="555555"/>
          <w:sz w:val="17"/>
        </w:rPr>
        <w:t xml:space="preserve">Zitiervorschlag: § 1 HG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