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HG 2023 (Bayern) — Übertragung von Ausgaben</w:t>
      </w:r>
    </w:p>
    <w:p>
      <w:r>
        <w:rPr>
          <w:color w:val="555555"/>
          <w:sz w:val="18"/>
        </w:rPr>
        <w:t xml:space="preserve">Haushaltsgesetz 2023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Ausgabereste und Haushaltsvorgriffe können mit Einwilligung des Staatsministeriums der Finanzen und für Heimat auf für gleiche Zwecke, aber mit anderer Bezeichnung und Titelnummer, im Haushaltsplan vorgesehene Titel übertragen werden.</w:t>
      </w:r>
    </w:p>
    <w:p>
      <w:r>
        <w:t xml:space="preserve">(2) Das Staatsministerium der Finanzen und für Heimat kann unbeschadet der Regelung in Art. 45 Abs. 3 BayHO unverbrauchte Mittel aus übertragbaren Ausgabebewilligungen des Haushaltsplans 2023 einziehen, soweit dies zur Vermeidung oder Verminderung eines Fehlbetrags erforderlich ist.</w:t>
      </w:r>
    </w:p>
    <w:p>
      <w:r>
        <w:t xml:space="preserve">(3) Abs. 2 gilt nicht für übertragbare Ausgabebewilligungen, soweit bei diesen Ansätzen zweckgebundene Einnahmen (Art. 8 Satz 2 Nr. 1 BayHO) ihrem Verwendungszweck noch nicht zugeführt wurden.</w:t>
      </w:r>
    </w:p>
    <w:p>
      <w:r>
        <w:rPr>
          <w:color w:val="555555"/>
          <w:sz w:val="17"/>
        </w:rPr>
        <w:t xml:space="preserve">Zitiervorschlag: Art 7 HG 2023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https://recht.nulegal.eu/gesetze/HG%202023/7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