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6a HG 2023 (Bayern) — Vergleichbare Stellen</w:t>
      </w:r>
    </w:p>
    <w:p>
      <w:r>
        <w:rPr>
          <w:color w:val="555555"/>
          <w:sz w:val="18"/>
        </w:rPr>
        <w:t xml:space="preserve">Haushaltsgesetz 2023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Folgende Stellen gelten bei der Anwendung haushaltsrechtlicher Vorschriften als vergleichbar:</w:t>
      </w:r>
    </w:p>
    <w:p>
      <w:r>
        <w:t xml:space="preserve">Besoldungsgruppe</w:t>
      </w:r>
    </w:p>
    <w:p>
      <w:r>
        <w:t xml:space="preserve">Entgeltgruppe</w:t>
      </w:r>
    </w:p>
    <w:p>
      <w:r>
        <w:t xml:space="preserve">A 16</w:t>
      </w:r>
    </w:p>
    <w:p>
      <w:r>
        <w:t xml:space="preserve">E 15Ü</w:t>
      </w:r>
    </w:p>
    <w:p>
      <w:r>
        <w:t xml:space="preserve">–</w:t>
      </w:r>
    </w:p>
    <w:p>
      <w:r>
        <w:t xml:space="preserve">A 15</w:t>
      </w:r>
    </w:p>
    <w:p>
      <w:r>
        <w:t xml:space="preserve">E 15</w:t>
      </w:r>
    </w:p>
    <w:p>
      <w:r>
        <w:t xml:space="preserve">–</w:t>
      </w:r>
    </w:p>
    <w:p>
      <w:r>
        <w:t xml:space="preserve">A 14</w:t>
      </w:r>
    </w:p>
    <w:p>
      <w:r>
        <w:t xml:space="preserve">E 14</w:t>
      </w:r>
    </w:p>
    <w:p>
      <w:r>
        <w:t xml:space="preserve">S 18</w:t>
      </w:r>
    </w:p>
    <w:p>
      <w:r>
        <w:t xml:space="preserve">A 13</w:t>
      </w:r>
    </w:p>
    <w:p>
      <w:r>
        <w:t xml:space="preserve">E 13, E 13Ü</w:t>
      </w:r>
    </w:p>
    <w:p>
      <w:r>
        <w:t xml:space="preserve">–</w:t>
      </w:r>
    </w:p>
    <w:p>
      <w:r>
        <w:t xml:space="preserve">A 12</w:t>
      </w:r>
    </w:p>
    <w:p>
      <w:r>
        <w:t xml:space="preserve">E 12</w:t>
      </w:r>
    </w:p>
    <w:p>
      <w:r>
        <w:t xml:space="preserve">S 17</w:t>
      </w:r>
    </w:p>
    <w:p>
      <w:r>
        <w:t xml:space="preserve">A 11</w:t>
      </w:r>
    </w:p>
    <w:p>
      <w:r>
        <w:t xml:space="preserve">E 11</w:t>
      </w:r>
    </w:p>
    <w:p>
      <w:r>
        <w:t xml:space="preserve">S 16, S 15</w:t>
      </w:r>
    </w:p>
    <w:p>
      <w:r>
        <w:t xml:space="preserve">A 10</w:t>
      </w:r>
    </w:p>
    <w:p>
      <w:r>
        <w:t xml:space="preserve">E 10</w:t>
      </w:r>
    </w:p>
    <w:p>
      <w:r>
        <w:t xml:space="preserve">S 14 – S 8b</w:t>
      </w:r>
    </w:p>
    <w:p>
      <w:r>
        <w:t xml:space="preserve">A 9</w:t>
      </w:r>
    </w:p>
    <w:p>
      <w:r>
        <w:t xml:space="preserve">E 9</w:t>
      </w:r>
    </w:p>
    <w:p>
      <w:r>
        <w:t xml:space="preserve">S 8a, S 7</w:t>
      </w:r>
    </w:p>
    <w:p>
      <w:r>
        <w:t xml:space="preserve">A 8</w:t>
      </w:r>
    </w:p>
    <w:p>
      <w:r>
        <w:t xml:space="preserve">E 8</w:t>
      </w:r>
    </w:p>
    <w:p>
      <w:r>
        <w:t xml:space="preserve">S 4</w:t>
      </w:r>
    </w:p>
    <w:p>
      <w:r>
        <w:t xml:space="preserve">A 7</w:t>
      </w:r>
    </w:p>
    <w:p>
      <w:r>
        <w:t xml:space="preserve">E 7, E 6</w:t>
      </w:r>
    </w:p>
    <w:p>
      <w:r>
        <w:t xml:space="preserve">S 3</w:t>
      </w:r>
    </w:p>
    <w:p>
      <w:r>
        <w:t xml:space="preserve">A 6</w:t>
      </w:r>
    </w:p>
    <w:p>
      <w:r>
        <w:t xml:space="preserve">E 5, E 4</w:t>
      </w:r>
    </w:p>
    <w:p>
      <w:r>
        <w:t xml:space="preserve">–</w:t>
      </w:r>
    </w:p>
    <w:p>
      <w:r>
        <w:t xml:space="preserve">A 5</w:t>
      </w:r>
    </w:p>
    <w:p>
      <w:r>
        <w:t xml:space="preserve">E 3</w:t>
      </w:r>
    </w:p>
    <w:p>
      <w:r>
        <w:t xml:space="preserve">S 2</w:t>
      </w:r>
    </w:p>
    <w:p>
      <w:r>
        <w:t xml:space="preserve">A 4</w:t>
      </w:r>
    </w:p>
    <w:p>
      <w:r>
        <w:t xml:space="preserve">–</w:t>
      </w:r>
    </w:p>
    <w:p>
      <w:r>
        <w:t xml:space="preserve">–</w:t>
      </w:r>
    </w:p>
    <w:p>
      <w:r>
        <w:t xml:space="preserve">A 3</w:t>
      </w:r>
    </w:p>
    <w:p>
      <w:r>
        <w:t xml:space="preserve">E 2Ü, E 2, E 1</w:t>
      </w:r>
    </w:p>
    <w:p>
      <w:r>
        <w:t xml:space="preserve">–</w:t>
      </w:r>
    </w:p>
    <w:p>
      <w:r>
        <w:t xml:space="preserve">(2) Abs. 1 hat keine Bedeutung für die Eingruppierung von Arbeitnehmern; hierfür sind ausschließlich die Tätigkeitsmerkmale maßgebend.</w:t>
      </w:r>
    </w:p>
    <w:p>
      <w:r>
        <w:rPr>
          <w:color w:val="555555"/>
          <w:sz w:val="17"/>
        </w:rPr>
        <w:t xml:space="preserve">Zitiervorschlag: Art 6a HG 2023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https://recht.nulegal.eu/gesetze/HG%202023/6a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