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16 HG 2023 (Bayern) — Inkrafttreten, Außerkrafttreten</w:t>
      </w:r>
    </w:p>
    <w:p>
      <w:r>
        <w:rPr>
          <w:color w:val="555555"/>
          <w:sz w:val="18"/>
        </w:rPr>
        <w:t xml:space="preserve">Haushaltsgesetz 2023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Dieses Gesetz tritt mit Wirkung vom 1. Januar 2023 in Kraft.</w:t>
      </w:r>
    </w:p>
    <w:p>
      <w:r>
        <w:t xml:space="preserve">(2) Abweichend von Abs. 1 tritt Art. 10 am 1. Mai 2023 in Kraft.</w:t>
      </w:r>
    </w:p>
    <w:p>
      <w:r>
        <w:t xml:space="preserve">(3) Die Bestimmungen dieses Gesetzes gelten bis zum Tag der Bekanntmachung des Haushaltsgesetzes des folgenden Haushaltsjahres weiter.</w:t>
      </w:r>
    </w:p>
    <w:p>
      <w:r>
        <w:rPr>
          <w:color w:val="555555"/>
          <w:sz w:val="17"/>
        </w:rPr>
        <w:t xml:space="preserve">Zitiervorschlag: Art 16 HG 2023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https://recht.nulegal.eu/gesetze/HG%202023/16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