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14 HG 2023 (Bayern) — Änderung des Bayerischen Denkmalschutzgesetzes</w:t>
      </w:r>
    </w:p>
    <w:p>
      <w:r>
        <w:rPr>
          <w:color w:val="555555"/>
          <w:sz w:val="18"/>
        </w:rPr>
        <w:t xml:space="preserve">Haushaltsgesetz 2023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In Art. 21 Abs. 2 Satz 2 des Bayerischen Denkmalschutzgesetzes (BayDSchG) in der in der Bayerischen Rechtssammlung (BayRS 2242-1-WK) veröffentlichten Fassung, das zuletzt durch § 7 des Gesetzes vom 10. März 2023 (GVBl. S. 91) geändert worden ist, wird die Angabe „13,5“ durch die Angabe „16“ ersetzt.</w:t>
      </w:r>
    </w:p>
    <w:p>
      <w:r>
        <w:rPr>
          <w:color w:val="555555"/>
          <w:sz w:val="17"/>
        </w:rPr>
        <w:t xml:space="preserve">Zitiervorschlag: Art 14 HG 2023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https://recht.nulegal.eu/gesetze/HG%202023/14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