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HG 2023 (Bayern) — Änderung des Kostengesetzes</w:t>
      </w:r>
    </w:p>
    <w:p>
      <w:r>
        <w:rPr>
          <w:color w:val="555555"/>
          <w:sz w:val="18"/>
        </w:rPr>
        <w:t xml:space="preserve">Haushaltsgesetz 2023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Art. 4 des Kostengesetzes (KG) vom 20. Februar 1998 (GVBl. S. 43, BayRS 2013-1-1-F), das zuletzt durch Art. 130c des Gesetzes vom 5. August 2022 (GVBl. S. 414) geändert worden ist, wird wie folgt geändert:</w:t>
      </w:r>
    </w:p>
    <w:p>
      <w:r>
        <w:t xml:space="preserve">1. Der bisherige Wortlaut wird Abs. 1.</w:t>
      </w:r>
    </w:p>
    <w:p>
      <w:r>
        <w:t xml:space="preserve">2. Folgender Abs. 2 wird angefügt:</w:t>
      </w:r>
    </w:p>
    <w:p>
      <w:r>
        <w:t xml:space="preserve">“(2) Von der Zahlung der Gebühren befreit sind auch</w:t>
      </w:r>
    </w:p>
    <w:p>
      <w:r>
        <w:t xml:space="preserve">1. die Bundesrepublik Deutschland und</w:t>
      </w:r>
    </w:p>
    <w:p>
      <w:r>
        <w:t xml:space="preserve">2. die anderen deutschen Länder.</w:t>
      </w:r>
    </w:p>
    <w:p>
      <w:r>
        <w:t xml:space="preserve">Gebührenfreiheit nach Satz 1 besteht nicht für Sondervermögen und Bundesbetriebe im Sinn des Art. 110 Abs. 1 Satz 1 Halbsatz 2 des Grundgesetzes, für in § 8 Abs. 4 des Bundesgebührengesetzes genannte Bundesbehörden, Landesbetriebe und sonstige wirtschaftliche Unternehmen der anderen deutschen Länder.“</w:t>
      </w:r>
    </w:p>
    <w:p>
      <w:r>
        <w:rPr>
          <w:color w:val="555555"/>
          <w:sz w:val="17"/>
        </w:rPr>
        <w:t xml:space="preserve">Zitiervorschlag: Art 10 HG 2023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https://recht.nulegal.eu/gesetze/HG%202023/10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