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HG 2022 (Brandenburg) — Tilgungsplan</w:t>
      </w:r>
    </w:p>
    <w:p>
      <w:r>
        <w:rPr>
          <w:color w:val="555555"/>
          <w:sz w:val="18"/>
        </w:rPr>
        <w:t xml:space="preserve">Haushaltsgesetz 2022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Beginnend mit dem Haushaltsjahr 2022 werden die gemäß § 2 Absatz 1 Satz 2 des Haushaltsgesetzes 2019/2020 vom 18. Dezember 2018 ( GVBl. I Nr. 33), das zuletzt durch das Gesetz vom 1. April 2020 (GVBl. I Nr. 9) geändert worden ist, aufgenommenen Kredite jährlich fortlaufend in Höhe von mindestens 3,3 Prozent getilgt.</w:t>
      </w:r>
    </w:p>
    <w:p>
      <w:r>
        <w:t xml:space="preserve">(2) Beginnend mit dem Haushaltsjahr 2024 werden die gemäß § 2 Absatz 1 Nummer 3 des Haushaltsgesetzes 2021 vom 18. Dezember 2020 (GVBl. I Nr. 35), das durch das Gesetz vom 23. Juni 2021 (GVBl. I Nr. 17) geändert worden ist, aufgenommenen Kredite jährlich fortlaufend in Höhe von mindestens 3,3 Prozent getilgt.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HG 2022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https://recht.nulegal.eu/gesetze/HG%202022/3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