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HG 2022 (Brandenburg) — Weitergeltung von Vorschriften und Ermächtigungen</w:t>
      </w:r>
    </w:p>
    <w:p>
      <w:r>
        <w:rPr>
          <w:color w:val="555555"/>
          <w:sz w:val="18"/>
        </w:rPr>
        <w:t xml:space="preserve">Haushaltsgesetz 2022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 und Ermächtigungen in den §§ 4, 5, 6, 8 Absatz 1 und 2, §§ 12 bis 16 und 18 gelten bis zur Verkündung des Haushaltsgesetzes 2023 weiter.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20 HG 2022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https://recht.nulegal.eu/gesetze/HG%202022/20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