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HG 2021 (Brandenburg) — Inkrafttreten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2021 in Kraft.</w:t>
      </w:r>
    </w:p>
    <w:p>
      <w:r>
        <w:t xml:space="preserve">Einzelnorm</w:t>
      </w:r>
    </w:p>
    <w:p>
      <w:r>
        <w:t xml:space="preserve">Potsdam, den 18. Dezember 2020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Anlagen</w:t>
      </w:r>
    </w:p>
    <w:p>
      <w:r>
        <w:t xml:space="preserve">1</w:t>
      </w:r>
    </w:p>
    <w:p>
      <w:r>
        <w:t xml:space="preserve">Anlage - Haushaltsplan des Landes Brandenburg für das Haushaltsjahr 2021 Gesamtplan 512.2 KB</w:t>
      </w:r>
    </w:p>
    <w:p>
      <w:r>
        <w:rPr>
          <w:color w:val="555555"/>
          <w:sz w:val="17"/>
        </w:rPr>
        <w:t xml:space="preserve">Zitiervorschlag: § 21 HG 2021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