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HG 2021 (Brandenburg) — Besondere Regelungen für geheim zu haltende Ausgaben</w:t>
      </w:r>
    </w:p>
    <w:p>
      <w:r>
        <w:rPr>
          <w:color w:val="555555"/>
          <w:sz w:val="18"/>
        </w:rPr>
        <w:t xml:space="preserve">Haushaltsgesetz 2021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Aus zwingenden Gründen des Geheimschutzes wird die Bewilligung von Ausgaben, die nach einem geheim zu haltenden Wirtschaftsplan bewirtschaftet werden sollen, von der Billigung des Wirtschaftsplans durch die Parlamentarische Kontrollkommission nach § 23 des Brandenburgischen Verfassungsschutzgesetzes abhängig gemacht. Die Mitglieder dieser Kontrollkommission sind zur Geheimhaltung aller Angelegenheiten verpflichtet, die ihnen bei dieser Tätigkeit bekannt geworden sind.</w:t>
      </w:r>
    </w:p>
    <w:p>
      <w:r>
        <w:t xml:space="preserve">(2) Die Präsidentin oder der Präsident des Landesrechnungshofes prüft in den Fällen des Absatzes 1 nach § 9 des Landesrechnungshofgesetzes und unterrichtet die Parlamentarische Kontrollkommission sowie die zuständige oberste Landesbehörde und das für Finanzen zuständige Ministerium über das Ergebnis der Prüfung der Jahresrechnung sowie der Haushalts- und Wirtschaftsführung. § 97 Absatz 4 der Landeshaushaltsordnung bleibt unberührt.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18 HG 2021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https://recht.nulegal.eu/gesetze/HG%202021/18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