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2020 — Baumaßnahmen der Bundesanstalt für Immobilienaufgaben</w:t>
      </w:r>
    </w:p>
    <w:p>
      <w:r>
        <w:rPr>
          <w:color w:val="555555"/>
          <w:sz w:val="18"/>
        </w:rPr>
        <w:t xml:space="preserve">Haushaltsgesetz 2020</w:t>
      </w:r>
    </w:p>
    <w:p>
      <w:r>
        <w:rPr>
          <w:color w:val="555555"/>
          <w:sz w:val="18"/>
        </w:rPr>
        <w:t xml:space="preserve">Historische Fassung: Stand 10.01.2020 bis 25.01.2021. Dies ist nicht die aktuelle Fassung.</w:t>
      </w:r>
    </w:p>
    <w:p>
      <w:r>
        <w:t xml:space="preserve">Die §§ 24 und 54 der Bundeshaushaltsordnung bleiben für Baumaßnahmen zur Deckung des Raumbedarfs für Bundeszwecke nach § 2 Absatz 1 Satz 2 des Gesetzes über die Bundesanstalt für Immobilienaufgaben vom 9. Dezember 2004 (BGBl. I S. 3235), das durch Artikel 15 Absatz 83 des Gesetzes vom 5. Februar 2009 (BGBl. I S. 160) geändert worden ist, die im Wirtschaftsplan der Bundesanstalt für Immobilienaufgaben veranschlagt werden, unberührt.</w:t>
      </w:r>
    </w:p>
    <w:p>
      <w:r>
        <w:rPr>
          <w:color w:val="555555"/>
          <w:sz w:val="17"/>
        </w:rPr>
        <w:t xml:space="preserve">Zitiervorschlag: § 9 HG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https://recht.nulegal.eu/gesetze/HG%202020/9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