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2020 — Verstärkungsmöglichkeiten, Deckungsfähigkeit, Zweckbindung</w:t>
      </w:r>
    </w:p>
    <w:p>
      <w:r>
        <w:rPr>
          <w:color w:val="555555"/>
          <w:sz w:val="18"/>
        </w:rPr>
        <w:t xml:space="preserve">Haushaltsgesetz 2020</w:t>
      </w:r>
    </w:p>
    <w:p>
      <w:r>
        <w:rPr>
          <w:color w:val="555555"/>
          <w:sz w:val="18"/>
        </w:rPr>
        <w:t xml:space="preserve">Historische Fassung: Stand 10.01.2020 bis 25.01.2021. Dies ist nicht die aktuelle Fassung.</w:t>
      </w:r>
    </w:p>
    <w:p>
      <w:r>
        <w:t xml:space="preserve">(1) Innerhalb eines Kapitels fließen die Einnahmen den Ausgaben bei folgenden Titeln zu:</w:t>
      </w:r>
    </w:p>
    <w:p>
      <w:pPr>
        <w:ind w:left="420"/>
      </w:pPr>
      <w:r>
        <w:t xml:space="preserve">1. Titel der Hauptgruppe 4 aus Personalkostenzuschüssen für die berufliche Eingliederung behinderter und schwerbehinderter Menschen sowie für Arbeitsbeschaffungsmaßnahmen und weitere Maßnahmen zur Eingliederung Arbeitsloser sowie aus Erstattungsleistungen nach dem Altersteilzeitgesetz vom 23. Juli 1996 (BGBl. I S. 1078), das zuletzt durch Artikel 8 des Gesetzes vom 11. Juli 2019 (BGBl. I S. 1066) geändert worden ist,</w:t>
      </w:r>
    </w:p>
    <w:p>
      <w:pPr>
        <w:ind w:left="420"/>
      </w:pPr>
      <w:r>
        <w:t xml:space="preserve">2. Titel der Hauptgruppen 5 bis 8 aus Sachkostenzuschüssen für die berufliche Eingliederung behinderter und schwerbehinderter Menschen,</w:t>
      </w:r>
    </w:p>
    <w:p>
      <w:pPr>
        <w:ind w:left="420"/>
      </w:pPr>
      <w:r>
        <w:t xml:space="preserve">3. Titel der Obergruppe 44 aus Erstattungen und Schadenersatzleistungen Dritter.</w:t>
      </w:r>
    </w:p>
    <w:p>
      <w:r>
        <w:t xml:space="preserve">(2) Innerhalb eines Kapitels fließen die Einnahmen den Ausgaben bei den Titeln zu, die den flexibilisierten Ausgabenbereichen gemäß § 5 Absatz 2 Satz 1 Nummer 1 oder 2 zugeordnet sind, soweit es sich bei den Einnahmen um Erstattungen und Beiträge Dritter handelt.</w:t>
      </w:r>
    </w:p>
    <w:p>
      <w:r>
        <w:t xml:space="preserve">(3) Für die Kapitel des Bundeshaushalts, auf die § 5 Absatz 2 bis 5 nicht anzuwenden ist, gilt:</w:t>
      </w:r>
    </w:p>
    <w:p>
      <w:pPr>
        <w:ind w:left="420"/>
      </w:pPr>
      <w:r>
        <w:t xml:space="preserve">1. Die obersten Bundesbehörden können die Deckungsfähigkeit der Ausgaben bei Titeln der Gruppen 511 bis 525, 527 und 539 innerhalb eines Kapitels anordnen, soweit die Mittel nicht übertragbar sind, die Mehrausgaben des Einzeltitels nicht mehr als 20 Prozent betragen und die Maßnahme wirtschaftlich zweckmäßig erscheint.</w:t>
      </w:r>
    </w:p>
    <w:p>
      <w:pPr>
        <w:ind w:left="420"/>
      </w:pPr>
      <w:r>
        <w:t xml:space="preserve">2. Soweit eine Deckung nach Nummer 1 nicht möglich ist, kann das Bundesministerium der Finanzen in besonders begründeten Ausnahmefällen zulassen, dass Mehrausgaben bei Titeln der Gruppen 514 und 517 bis zur Höhe von 30 Prozent des Sollansatzes durch Einsparungen anderer Ausgaben innerhalb der Hauptgruppe 5 desselben Einzelplans gedeckt werden.</w:t>
      </w:r>
    </w:p>
    <w:p>
      <w:pPr>
        <w:ind w:left="420"/>
      </w:pPr>
      <w:r>
        <w:t xml:space="preserve">3. Mehrausgaben bei Titel 526 .1 können gegen Einsparungen bei anderen Ausgaben der Obergruppen 51 bis 54 desselben Einzelplans gedeckt werden.</w:t>
      </w:r>
    </w:p>
    <w:p>
      <w:r>
        <w:t xml:space="preserve">(4) Innerhalb eines Kapitels dürfen Mehrausgaben für Mieten und Pachten im Zusammenhang mit dem Einheitlichen Liegenschaftsmanagement bei Titel 518 .2 bis zur Höhe der Einsparungen bei den in die Flexibilisierung nach § 5 einbezogenen Titeln geleistet werden.</w:t>
      </w:r>
    </w:p>
    <w:p>
      <w:r>
        <w:t xml:space="preserve">(5) Das Bundesministerium der Finanzen wird ermächtigt, mit Einwilligung des Haushaltsausschusses des Deutschen Bundestages innerhalb des Einzelplans 14 die Deckungsfähigkeit der Ausgaben bei Titeln der Gruppen 551 bis 559 der Kapitel 1404 bis 1408 sowie bei Titel 514 03 in Kapitel 1407 anzuordnen, falls dies auf Grund von Umständen, die nach Inkrafttreten des Haushaltsgesetzes eingetreten sind, wirtschaftlich zweckmäßig erscheint. Für das Kapitel 1405 gilt dies mit der Einschränkung, dass nur die einseitige Deckungsfähigkeit mit Deckungsberechtigung für das Kapitel 1405 angeordnet werden kann. Die Regelungen nach Satz 1 und 2 gelten auch für übertragbare Ausgaben. Das Bundesministerium der Finanzen wird darüber hinaus ermächtigt, mit Einwilligung des Haushaltsausschusses des Deutschen Bundestages innerhalb des Einzelplans 14 die Deckungsfähigkeit der Ausgaben bei einzelnen Titeln mit Ausnahme der Titel der Gruppe 529 anzuordnen, wenn unvorhergesehen und unabweisbar Mehrausgaben geleistet werden müssen, um die Wirtschaftlichkeit des Betriebs der Streitkräfte zu verbessern.</w:t>
      </w:r>
    </w:p>
    <w:p>
      <w:r>
        <w:t xml:space="preserve">(6) Bei Titel 537 02 des Kapitels 6003 fließen Erstattungen der obersten Bundesbehörden für die Inanspruchnahme des Flugdienstes zwischen Köln/Bonn und Berlin den Ausgaben zu. Bei den Titeln 527 .1 und 453 .1 der obersten Bundesbehörden fließen Erstattungen des nachgeordneten Bereichs sowie von Dritten im Zusammenhang mit dem Flugdienst zwischen Köln/Bonn und Berlin den Ausgaben zu.</w:t>
      </w:r>
    </w:p>
    <w:p>
      <w:r>
        <w:t xml:space="preserve">(7) Innerhalb eines Kapitels können Mehreinnahmen aus der Veräußerung von Dienstkraftfahrzeugen herangezogen werden, um die Ausgaben für die Ersatzbeschaffung von Dienstkraftfahrzeugen zu verstärken. Das Nähere bestimmt das Bundesministerium der Finanzen.</w:t>
      </w:r>
    </w:p>
    <w:p>
      <w:r>
        <w:t xml:space="preserve">(8) Das Aufkommen an Mineralölsteuer, das nach Artikel 1 des Straßenbaufinanzierungsgesetzes in der im Bundesgesetzblatt Teil III, Gliederungsnummer 912-3, veröffentlichten bereinigten Fassung, das zuletzt durch Artikel 19 des Gesetzes vom 14. August 2017 (BGBl. I S. 3122) geändert worden ist, und nach Artikel 3 des Verkehrsfinanzgesetzes 1971 vom 28. Februar 1972 (BGBl. I S. 201), das zuletzt durch Artikel 99 des Gesetzes vom 8. Dezember 2010 (BGBl. I S. 1864) geändert worden ist, für Zwecke des Straßenwesens gebunden ist, ist auch für sonstige verkehrspolitische Zwecke im Bereich des Bundesministeriums für Verkehr und digitale Infrastruktur zu verwenden.</w:t>
      </w:r>
    </w:p>
    <w:p>
      <w:r>
        <w:t xml:space="preserve">(9) Ergeben sich zum Abschluss des Haushaltsjahres gegenüber dem Haushaltssoll Minderausgaben bei den Titeln des Kapitels 1405, so dienen diese bis zur Höhe der sich auch im Bundeshaushalt per Saldo ergebenden Entlastung zur Leistung von Mehrausgaben bei Kapitel 1405 Titel 919 01, sofern dadurch keine Kredite zur Deckung von Ausgaben aufgenommen werden müssen. Haushalts- oder kassenmäßige Einsparungen und gesperrte Beträge im Kapitel 1405 sind auf die Minderausgaben nach Satz 1 anzurechnen. Die Mehrausgaben bei Kapitel 1405 Titel 919 01 sind auf 500 000 000 Euro begrenzt. Ergibt sich zum Abschluss des Haushaltsjahres gegenüber dem Haushaltssoll per Saldo darüber hinaus eine Entlastung des Bundeshaushalts, so dient dieser Betrag zur Leistung von Mehrausgaben bei Kapitel 6002 Titel 919 01, soweit dadurch keine Kredite zur Deckung von Ausgaben aufgenommen werden müssen. Die Erhebung von Mehreinnahmen bei Kapitel 6002 Titel 359 01 bedarf der Einwilligung des Haushaltsausschusses des Deutschen Bundestages.</w:t>
      </w:r>
    </w:p>
    <w:p>
      <w:r>
        <w:t xml:space="preserve">(10) Innerhalb eines Kapitels dürfen für interne Verrechnungen nach § 61 der Bundeshaushaltsordnung bei Titel 981 .3 Mehrausgaben bis zur Höhe der Einsparungen geleistet und Ausgabetitel bis zur Höhe der Einnahmen bei Titel 381 .3 verstärkt werden. Das Bundesministerium der Finanzen wird ermächtigt, diese Titel auszubringen.</w:t>
      </w:r>
    </w:p>
    <w:p>
      <w:r>
        <w:t xml:space="preserve">(11) Abweichend von § 2 Absatz 1 Satz 4 des Gesetzes zur Errichtung eines Sondervermögens „Energie- und Klimafonds“ vom 8. Dezember 2010 (BGBl. I S. 1807), das zuletzt durch Artikel 1 des Gesetzes vom 22. Dezember 2014 (BGBl. I S. 2431) geändert worden ist, wird zugelassen, dass die Zuschüsse an stromintensive Unternehmen zum Ausgleich von emissionshandelsbedingten Strompreiserhöhungen im Jahr 2020 500 000 000 Euro übersteigen können. Abweichend von § 2 Absatz 1 Satz 5 des Gesetzes zur Errichtung des Sondervermögens „Energie- und Klimafonds“ wird zudem zugelassen, dass die Ausgaben zur Entwicklung der Elektromobilität im Jahr 2020 300 000 000 Euro übersteigen können.</w:t>
      </w:r>
    </w:p>
    <w:p>
      <w:r>
        <w:t xml:space="preserve">(12) § 20 Absatz 1 der Bundeshaushaltsordnung findet auf die Festtitel 428 .2 „Entgelte für Wissenschaftlerinnen und Wissenschaftler“ keine Anwendung.</w:t>
      </w:r>
    </w:p>
    <w:p>
      <w:r>
        <w:rPr>
          <w:color w:val="555555"/>
          <w:sz w:val="17"/>
        </w:rPr>
        <w:t xml:space="preserve">Zitiervorschlag: § 6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