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HG 2019 — Fortgeltung</w:t>
      </w:r>
    </w:p>
    <w:p>
      <w:r>
        <w:rPr>
          <w:color w:val="555555"/>
          <w:sz w:val="18"/>
        </w:rPr>
        <w:t xml:space="preserve">Haushaltsgesetz 2019</w:t>
      </w:r>
    </w:p>
    <w:p>
      <w:r>
        <w:rPr>
          <w:color w:val="555555"/>
          <w:sz w:val="18"/>
        </w:rPr>
        <w:t xml:space="preserve">Historische Fassung: Stand 10.06.2019 bis 18.01.2020. Dies ist nicht die aktuelle Fassung.</w:t>
      </w:r>
    </w:p>
    <w:p>
      <w:r>
        <w:t xml:space="preserve">§ 2 Absatz 2 Satz 3 und 4, Absatz 4 und 5 sowie die §§ 3 bis 21 gelten bis zum Tag der Verkündung des Haushaltsgesetzes des folgenden Haushaltsjahres weiter.</w:t>
      </w:r>
    </w:p>
    <w:p>
      <w:r>
        <w:rPr>
          <w:color w:val="555555"/>
          <w:sz w:val="17"/>
        </w:rPr>
        <w:t xml:space="preserve">Zitiervorschlag: § 22 HG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https://recht.nulegal.eu/gesetze/HG%202019/22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