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HG 2019 — Rückzahlung, Titelverwechslung</w:t>
      </w:r>
    </w:p>
    <w:p>
      <w:r>
        <w:rPr>
          <w:color w:val="555555"/>
          <w:sz w:val="18"/>
        </w:rPr>
        <w:t xml:space="preserve">Haushaltsgesetz 2019</w:t>
      </w:r>
    </w:p>
    <w:p>
      <w:r>
        <w:rPr>
          <w:color w:val="555555"/>
          <w:sz w:val="18"/>
        </w:rPr>
        <w:t xml:space="preserve">Historische Fassung: Stand 10.06.2019 bis 18.01.2020. Dies ist nicht die aktuelle Fassung.</w:t>
      </w:r>
    </w:p>
    <w:p>
      <w:r>
        <w:t xml:space="preserve">(1) Die Rückzahlung zu viel erhobener Einnahmen kann aus dem jeweiligen Einnahmetitel geleistet werden und ist dann bei dem betreffenden Einnahmetitel abzusetzen.</w:t>
      </w:r>
    </w:p>
    <w:p>
      <w:r>
        <w:t xml:space="preserve">(2) Bei einer unrichtigen Zahlung, bei Doppelzahlungen oder Überzahlungen darf die Rückzahlung, soweit § 5 gilt, stets von der Ausgabe abgesetzt werden, im Übrigen nur, wenn die Bücher noch nicht abgeschlossen sind. Die Rückzahlung zu viel geleisteter Personalausgaben ist stets beim jeweiligen Ausgabetitel abzusetzen.</w:t>
      </w:r>
    </w:p>
    <w:p>
      <w:r>
        <w:t xml:space="preserve">(3) Titelverwechslungen dürfen nur berichtigt werden, solange die Bücher noch nicht abgeschlossen sind.</w:t>
      </w:r>
    </w:p>
    <w:p>
      <w:r>
        <w:rPr>
          <w:color w:val="555555"/>
          <w:sz w:val="17"/>
        </w:rPr>
        <w:t xml:space="preserve">Zitiervorschlag: § 13 HG 2019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https://recht.nulegal.eu/gesetze/HG%202019/13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