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HG 2019 — Bezüge</w:t>
      </w:r>
    </w:p>
    <w:p>
      <w:r>
        <w:rPr>
          <w:color w:val="555555"/>
          <w:sz w:val="18"/>
        </w:rPr>
        <w:t xml:space="preserve">Haushaltsgesetz 2019</w:t>
      </w:r>
    </w:p>
    <w:p>
      <w:r>
        <w:rPr>
          <w:color w:val="555555"/>
          <w:sz w:val="18"/>
        </w:rPr>
        <w:t xml:space="preserve">Historische Fassung: Stand 10.06.2019 bis 18.01.2020. Dies ist nicht die aktuelle Fassung.</w:t>
      </w:r>
    </w:p>
    <w:p>
      <w:r>
        <w:t xml:space="preserve">(1) Abweichend von § 50 Absatz 3 der Bundeshaushaltsordnung können die Personalausgaben für abgeordnete Beschäftigte für die Dauer von bis zu drei Jahren von der abordnenden Verwaltung weitergezahlt werden. Weiterzahlungen über drei Jahre hinaus bedürfen, sofern sie nicht durch Haushaltsvermerk geregelt sind, der Einwilligung des Bundesministeriums der Finanzen.</w:t>
      </w:r>
    </w:p>
    <w:p>
      <w:r>
        <w:t xml:space="preserve">(2) Innerhalb eines Kapitels dürfen Zulagen nach § 45 des Bundesbesoldungsgesetzes in der Fassung der Bekanntmachung vom 19. Juni 2009 (BGBl. I S. 1434), das zuletzt durch Artikel 4 des Gesetzes vom 8. November 2018 (BGBl. I S. 1810) geändert worden ist, für Beamtinnen und Beamte bis zur Höhe von 0,1 Prozent der veranschlagten Ausgaben der Titel 422 .1 geleistet werden. Innerhalb der Kapitel 1403 und 1412 dürfen Zulagen nach § 45 des Bundesbesoldungsgesetzes für Soldatinnen und Soldaten bis zur Höhe von 0,1 Prozent der veranschlagten Ausgaben des Titels 423 01 geleistet werden.</w:t>
      </w:r>
    </w:p>
    <w:p>
      <w:r>
        <w:t xml:space="preserve">(3) Soweit Soldatinnen und Soldaten Leistungsprämien, Leistungszulagen oder Leistungsstufen gewährt werden, sind die Titel der Gruppe 423 der Kapitel 1403 und 1412 gegenseitig deckungsfähig.</w:t>
      </w:r>
    </w:p>
    <w:p>
      <w:r>
        <w:rPr>
          <w:color w:val="555555"/>
          <w:sz w:val="17"/>
        </w:rPr>
        <w:t xml:space="preserve">Zitiervorschlag: § 10 HG 2019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https://recht.nulegal.eu/gesetze/HG%202019/10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