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HG 2012 (Brandenburg) — Inkrafttreten</w:t>
      </w:r>
    </w:p>
    <w:p>
      <w:r>
        <w:rPr>
          <w:color w:val="555555"/>
          <w:sz w:val="18"/>
        </w:rPr>
        <w:t xml:space="preserve">Haushaltsgesetz 2012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Dieses Gesetz tritt am 1.</w:t>
      </w:r>
    </w:p>
    <w:p>
      <w:r>
        <w:t xml:space="preserve">Januar 2012 in Kraft.</w:t>
      </w:r>
    </w:p>
    <w:p>
      <w:r>
        <w:t xml:space="preserve">Potsdam, den 19. Dezember</w:t>
      </w:r>
    </w:p>
    <w:p>
      <w:r>
        <w:t xml:space="preserve">2011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rPr>
          <w:color w:val="555555"/>
          <w:sz w:val="17"/>
        </w:rPr>
        <w:t xml:space="preserve">Zitiervorschlag: § 20 HG 2012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https://recht.nulegal.eu/gesetze/HG%202012/20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