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2007 (Brandenburg) — Neue Steuerungsinstrumente im Bereich des Landtages, Verfassungsgerichts und Landesrechnungshofes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 deckungsfähig sind innerhalb der</w:t>
      </w:r>
    </w:p>
    <w:p>
      <w:r>
        <w:t xml:space="preserve">Einzelpläne 01, 13 und 14 die Ausgaben der Obergruppen 51 bis 54,</w:t>
      </w:r>
    </w:p>
    <w:p>
      <w:r>
        <w:t xml:space="preserve">ausgenommen die Ausgaben der Titel 514 25, 518 25 und der Gruppe 529 und der</w:t>
      </w:r>
    </w:p>
    <w:p>
      <w:r>
        <w:t xml:space="preserve">Obergruppe 81. Werden die Ausgaben der Obergruppen 51 bis 54, ausgenommen die</w:t>
      </w:r>
    </w:p>
    <w:p>
      <w:r>
        <w:t xml:space="preserve">Ausgaben der Gruppe 529, und der Obergruppe 81 beim Jahresabschluss</w:t>
      </w:r>
    </w:p>
    <w:p>
      <w:r>
        <w:t xml:space="preserve">unterschritten, kann der Betrag in Höhe der Unterschreitung einer</w:t>
      </w:r>
    </w:p>
    <w:p>
      <w:r>
        <w:t xml:space="preserve">Rücklage zugeführt werden. Sofern es beim Jahresabschluss zu einer</w:t>
      </w:r>
    </w:p>
    <w:p>
      <w:r>
        <w:t xml:space="preserve">Überschreitung kommt, kann der Betrag in Höhe der Überschreitung</w:t>
      </w:r>
    </w:p>
    <w:p>
      <w:r>
        <w:t xml:space="preserve">in den nächsten Haushalt vorgetragen werden. Rücklagen aus dem</w:t>
      </w:r>
    </w:p>
    <w:p>
      <w:r>
        <w:t xml:space="preserve">Vorjahr dürfen zur Verstärkung der entsprechenden Ausgaben verwendet</w:t>
      </w:r>
    </w:p>
    <w:p>
      <w:r>
        <w:t xml:space="preserve">werden.</w:t>
      </w:r>
    </w:p>
    <w:p>
      <w:r>
        <w:t xml:space="preserve">(2) Nicht verausgabte Mittel der Titelgruppe 99 – Kosten</w:t>
      </w:r>
    </w:p>
    <w:p>
      <w:r>
        <w:t xml:space="preserve">für Datenverarbeitung – können bei Unterschreitung der</w:t>
      </w:r>
    </w:p>
    <w:p>
      <w:r>
        <w:t xml:space="preserve">veranschlagten Ausgaben in Höhe der Unterschreitung einer Rücklage</w:t>
      </w:r>
    </w:p>
    <w:p>
      <w:r>
        <w:t xml:space="preserve">zugeführt werden. Auf die Bildung dieser Rücklage ist Absatz 1 nicht</w:t>
      </w:r>
    </w:p>
    <w:p>
      <w:r>
        <w:t xml:space="preserve">anzuwenden. Innerhalb der Titelgruppe 99 dürfen Einnahmen, die der</w:t>
      </w:r>
    </w:p>
    <w:p>
      <w:r>
        <w:t xml:space="preserve">für Datenverarbeitung gebildeten Rücklage entnommen werden, zur</w:t>
      </w:r>
    </w:p>
    <w:p>
      <w:r>
        <w:t xml:space="preserve">Deckung von Mehrausgaben verwendet werden.</w:t>
      </w:r>
    </w:p>
    <w:p>
      <w:r>
        <w:t xml:space="preserve">(3) Für die Ausgaben der Hauptgruppe 4, mit Ausnahme der</w:t>
      </w:r>
    </w:p>
    <w:p>
      <w:r>
        <w:t xml:space="preserve">Ausgaben der Gruppe 411 – Aufwendungen für Abgeordnete – im</w:t>
      </w:r>
    </w:p>
    <w:p>
      <w:r>
        <w:t xml:space="preserve">Kapitel 01 010 und der Gruppe 432, wird innerhalb des jeweiligen Einzelplans</w:t>
      </w:r>
    </w:p>
    <w:p>
      <w:r>
        <w:t xml:space="preserve">ein Personalbudget gebildet. Die Ausgaben sind innerhalb des Personalbudgets</w:t>
      </w:r>
    </w:p>
    <w:p>
      <w:r>
        <w:t xml:space="preserve">gegenseitig deckungsfähig, davon ausgenommen sind die Ausgaben der Gruppe</w:t>
      </w:r>
    </w:p>
    <w:p>
      <w:r>
        <w:t xml:space="preserve">453. Rücklagen aus dem Vorjahr dürfen zur Verstärkung der</w:t>
      </w:r>
    </w:p>
    <w:p>
      <w:r>
        <w:t xml:space="preserve">Ausgaben verwendet werden; vorgezogene Entnahmen im Vorjahr sind durch</w:t>
      </w:r>
    </w:p>
    <w:p>
      <w:r>
        <w:t xml:space="preserve">Minderausgaben im laufenden Haushaltsjahr auszugleichen. Wird das</w:t>
      </w:r>
    </w:p>
    <w:p>
      <w:r>
        <w:t xml:space="preserve">Personalbudget beim Jahresabschluss über- oder unterschritten, kann der</w:t>
      </w:r>
    </w:p>
    <w:p>
      <w:r>
        <w:t xml:space="preserve">Betrag bis zur Höhe der Über- oder Unterschreitung auf das</w:t>
      </w:r>
    </w:p>
    <w:p>
      <w:r>
        <w:t xml:space="preserve">Personalbudget für den nächsten Haushalt vorgetragen werden.</w:t>
      </w:r>
    </w:p>
    <w:p>
      <w:r>
        <w:t xml:space="preserve">(4) Die Ausgaben der Gruppe 453 sind innerhalb des jeweiligen</w:t>
      </w:r>
    </w:p>
    <w:p>
      <w:r>
        <w:t xml:space="preserve">Einzelplans gegenseitig deckungsfähig. Das jeweilige Personalbudget ist</w:t>
      </w:r>
    </w:p>
    <w:p>
      <w:r>
        <w:t xml:space="preserve">einseitig deckungsfähig zugunsten der Ausgaben der Gruppe 453. Die</w:t>
      </w:r>
    </w:p>
    <w:p>
      <w:r>
        <w:t xml:space="preserve">Ausgaben der Gruppe 432 sind über alle Einzelpläne gegenseitig</w:t>
      </w:r>
    </w:p>
    <w:p>
      <w:r>
        <w:t xml:space="preserve">deckungsfähig.</w:t>
      </w:r>
    </w:p>
    <w:p>
      <w:r>
        <w:t xml:space="preserve">(5) Mehreinnahmen bei den Obergruppen 11 bis 13 können zur</w:t>
      </w:r>
    </w:p>
    <w:p>
      <w:r>
        <w:t xml:space="preserve">Verstärkung der Ausgaben der Obergruppen 51 bis 54, ausgenommen die</w:t>
      </w:r>
    </w:p>
    <w:p>
      <w:r>
        <w:t xml:space="preserve">Ausgaben der Gruppe 529, und der Obergruppe 81 verwendet werden, wenn ein</w:t>
      </w:r>
    </w:p>
    <w:p>
      <w:r>
        <w:t xml:space="preserve">verwaltungsmäßiger oder sachlicher Zusammenhang besteht oder eine</w:t>
      </w:r>
    </w:p>
    <w:p>
      <w:r>
        <w:t xml:space="preserve">wirtschaftliche und sparsame Verwendung gefördert wird. Minderausgaben</w:t>
      </w:r>
    </w:p>
    <w:p>
      <w:r>
        <w:t xml:space="preserve">beim Personalbudget können zur Verstärkung der in Satz 1 bezeichneten</w:t>
      </w:r>
    </w:p>
    <w:p>
      <w:r>
        <w:t xml:space="preserve">Ausgaben im jeweiligen Einzelplan verwendet werden, soweit sich daraus keine</w:t>
      </w:r>
    </w:p>
    <w:p>
      <w:r>
        <w:t xml:space="preserve">Überschreitung des Personalbudgets beim Jahresabschluss ergibt.</w:t>
      </w:r>
    </w:p>
    <w:p>
      <w:r>
        <w:rPr>
          <w:color w:val="555555"/>
          <w:sz w:val="17"/>
        </w:rPr>
        <w:t xml:space="preserve">Zitiervorschlag: § 6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