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HG 2004 (Brandenburg) — In-Kraft-Treten</w:t>
      </w:r>
    </w:p>
    <w:p>
      <w:r>
        <w:rPr>
          <w:color w:val="555555"/>
          <w:sz w:val="18"/>
        </w:rPr>
        <w:t xml:space="preserve">Haushaltsgesetz 2004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Dieses Gesetz tritt am 1. Januar 2004 in Kraft.</w:t>
      </w:r>
    </w:p>
    <w:p>
      <w:r>
        <w:t xml:space="preserve">Potsdam, den 17. Dezember 2003</w:t>
      </w:r>
    </w:p>
    <w:p>
      <w:r>
        <w:rPr>
          <w:color w:val="555555"/>
          <w:sz w:val="17"/>
        </w:rPr>
        <w:t xml:space="preserve">Zitiervorschlag: § 19 HG 2004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https://recht.nulegal.eu/gesetze/HG%202004/19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