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2004 (Brandenburg) — Besondere Regelungen für geheim zu haltende Ausgaben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 Bewilligung von</w:t>
      </w:r>
    </w:p>
    <w:p>
      <w:r>
        <w:t xml:space="preserve">Ausgaben, die nach einem geheim zu haltenden Wirtschaftsplan bewirtschaftet</w:t>
      </w:r>
    </w:p>
    <w:p>
      <w:r>
        <w:t xml:space="preserve">werden sollen, von der Billigung des Wirtschaftsplans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 geworden sind.</w:t>
      </w:r>
    </w:p>
    <w:p>
      <w:r>
        <w:t xml:space="preserve">(2) Die Präsidentin des Landesrechnungshofes prüft in den</w:t>
      </w:r>
    </w:p>
    <w:p>
      <w:r>
        <w:t xml:space="preserve">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ihrer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16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