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HG 1999 (Brandenburg) — Landesverwaltungsnetz, Energieeinsparung</w:t>
      </w:r>
    </w:p>
    <w:p>
      <w:r>
        <w:rPr>
          <w:color w:val="555555"/>
          <w:sz w:val="18"/>
        </w:rPr>
        <w:t xml:space="preserve">Haushaltsgesetz 1999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dem Land im Rahmen vertraglicher Vereinbarungen mit</w:t>
      </w:r>
    </w:p>
    <w:p>
      <w:r>
        <w:t xml:space="preserve">Telekommunikationsdienstleistern gewährten Rabatte sind für den</w:t>
      </w:r>
    </w:p>
    <w:p>
      <w:r>
        <w:t xml:space="preserve">Ausbau des Landesverwaltungsnetzes einzusetzen. Das Nähere regelt das</w:t>
      </w:r>
    </w:p>
    <w:p>
      <w:r>
        <w:t xml:space="preserve">Ministerium der Finanzen im Einvernehmen mit dem Ministerium des Innern.</w:t>
      </w:r>
    </w:p>
    <w:p>
      <w:r>
        <w:t xml:space="preserve">(2) Ausgaben für Heizung, Strom und sonstigen</w:t>
      </w:r>
    </w:p>
    <w:p>
      <w:r>
        <w:t xml:space="preserve">Energiebedarf (Gruppe 517) sind in Höhe von 1 vom Hundert gesperrt. Die</w:t>
      </w:r>
    </w:p>
    <w:p>
      <w:r>
        <w:t xml:space="preserve">gesperrten Ausgaben sind für Maßnahmen zur Energieeinsparung in der</w:t>
      </w:r>
    </w:p>
    <w:p>
      <w:r>
        <w:t xml:space="preserve">Landesverwaltung einzusetzen.</w:t>
      </w:r>
    </w:p>
    <w:p>
      <w:r>
        <w:t xml:space="preserve">(3) Einsparungen bei den in Absatz 2 genannten Ausgaben, die</w:t>
      </w:r>
    </w:p>
    <w:p>
      <w:r>
        <w:t xml:space="preserve">sich aus Energiesparmaßnahmen ergeben, dürfen zur Deckung von</w:t>
      </w:r>
    </w:p>
    <w:p>
      <w:r>
        <w:t xml:space="preserve">Ausgaben für Investitionen und für Schulungs- und</w:t>
      </w:r>
    </w:p>
    <w:p>
      <w:r>
        <w:t xml:space="preserve">Beratungsmaßnahmen zur Erzielung weiterer Energieeinsparung und damit</w:t>
      </w:r>
    </w:p>
    <w:p>
      <w:r>
        <w:t xml:space="preserve">verbundener Kostensenkung verwendet werden.</w:t>
      </w:r>
    </w:p>
    <w:p>
      <w:r>
        <w:t xml:space="preserve">(4) Das Nähere zu den Absätzen 2 und 3 regelt das</w:t>
      </w:r>
    </w:p>
    <w:p>
      <w:r>
        <w:t xml:space="preserve">Ministerium der Finanzen im Einvernehmen mit dem Ministerium für</w:t>
      </w:r>
    </w:p>
    <w:p>
      <w:r>
        <w:t xml:space="preserve">Wirtschaft, Mittelstand und Technologie und den beteiligten Ressorts.</w:t>
      </w:r>
    </w:p>
    <w:p>
      <w:r>
        <w:t xml:space="preserve">(5) Mit Einwilligung des Ministeriums der Finanzen dürfen</w:t>
      </w:r>
    </w:p>
    <w:p>
      <w:r>
        <w:t xml:space="preserve">für Maßnahmen zur Energieeinsparung in Landesliegenschaften</w:t>
      </w:r>
    </w:p>
    <w:p>
      <w:r>
        <w:t xml:space="preserve">Vorfinanzierungen durch Dritte in Anspruch genommen werden, wenn unter</w:t>
      </w:r>
    </w:p>
    <w:p>
      <w:r>
        <w:t xml:space="preserve">Berücksichtigung des Grundsatzes der Wirtschaftlichkeit die entstehenden</w:t>
      </w:r>
    </w:p>
    <w:p>
      <w:r>
        <w:t xml:space="preserve">Kosten (einschließlich Zins- und Tilgungsaufwand) aus den Einsparungen an</w:t>
      </w:r>
    </w:p>
    <w:p>
      <w:r>
        <w:t xml:space="preserve">Betriebskosten innerhalb eines Zeitraumes von längstens zehn Jahren</w:t>
      </w:r>
    </w:p>
    <w:p>
      <w:r>
        <w:t xml:space="preserve">gedeckt werden können, sich die Verzinsung im Rahmen vergleichbarer</w:t>
      </w:r>
    </w:p>
    <w:p>
      <w:r>
        <w:t xml:space="preserve">Kreditmarktdarlehen hält und die Deckung im laufenden Haushaltsjahr</w:t>
      </w:r>
    </w:p>
    <w:p>
      <w:r>
        <w:t xml:space="preserve">gesichert ist.</w:t>
      </w:r>
    </w:p>
    <w:p>
      <w:r>
        <w:rPr>
          <w:color w:val="555555"/>
          <w:sz w:val="17"/>
        </w:rPr>
        <w:t xml:space="preserve">Zitiervorschlag: § 9 HG 1999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https://recht.nulegal.eu/gesetze/HG%201999/9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