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HG 1999 (Brandenburg) — Mehrausgaben</w:t>
      </w:r>
    </w:p>
    <w:p>
      <w:r>
        <w:rPr>
          <w:color w:val="555555"/>
          <w:sz w:val="18"/>
        </w:rPr>
        <w:t xml:space="preserve">Haushaltsgesetz 1999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4 der</w:t>
      </w:r>
    </w:p>
    <w:p>
      <w:r>
        <w:t xml:space="preserve">Landeshaushaltsordnung zu bestimmende Betrag wird auf 15 000 000 Deutsche Mark</w:t>
      </w:r>
    </w:p>
    <w:p>
      <w:r>
        <w:t xml:space="preserve">Landesmittel festgesetzt, für Verpflichtungsermächtigungen (§ 38</w:t>
      </w:r>
    </w:p>
    <w:p>
      <w:r>
        <w:t xml:space="preserve">Abs. 1 Satz 3 der Landeshaushaltsordnung) als Jahresbetrag. Von der</w:t>
      </w:r>
    </w:p>
    <w:p>
      <w:r>
        <w:t xml:space="preserve">Höchstgrenze nach Satz 1 sind die unvorhergesehenen</w:t>
      </w:r>
    </w:p>
    <w:p>
      <w:r>
        <w:t xml:space="preserve">Komplementärmittel ausgenommen, die das Land zur Mitfinanzierung der von</w:t>
      </w:r>
    </w:p>
    <w:p>
      <w:r>
        <w:t xml:space="preserve">den Europäischen Gemeinschaften oder vom Bund zweckgebunden zur</w:t>
      </w:r>
    </w:p>
    <w:p>
      <w:r>
        <w:t xml:space="preserve">Verfügung gestellten Ausgabemittel aufbringen muß. Dies gilt</w:t>
      </w:r>
    </w:p>
    <w:p>
      <w:r>
        <w:t xml:space="preserve">entsprechend für vom Land im Rahmen der Bundesauftragsverwaltung zu</w:t>
      </w:r>
    </w:p>
    <w:p>
      <w:r>
        <w:t xml:space="preserve">leistende unvorhergesehene und unabweisbare Verwaltungsausgaben.</w:t>
      </w:r>
    </w:p>
    <w:p>
      <w:r>
        <w:t xml:space="preserve">Überschreiten die Mehrausgaben im Einzelfall den Betrag von 10 000 000</w:t>
      </w:r>
    </w:p>
    <w:p>
      <w:r>
        <w:t xml:space="preserve">Deutsche Mark Landesmittel, bei Verpflichtungsermächtigungen als</w:t>
      </w:r>
    </w:p>
    <w:p>
      <w:r>
        <w:t xml:space="preserve">jährlich fällig werdender Betrag, ist die Einwilligung des</w:t>
      </w:r>
    </w:p>
    <w:p>
      <w:r>
        <w:t xml:space="preserve">Ausschusses für Haushalt und Finanzen des Landtages einzuholen.</w:t>
      </w:r>
    </w:p>
    <w:p>
      <w:r>
        <w:t xml:space="preserve">(2) Soweit der Bund für die Durchführung der</w:t>
      </w:r>
    </w:p>
    <w:p>
      <w:r>
        <w:t xml:space="preserve">Gemeinschaftsaufgabe „Verbesserung der regionalen</w:t>
      </w:r>
    </w:p>
    <w:p>
      <w:r>
        <w:t xml:space="preserve">Wirtschaftsstruktur" über die im Haushalt veranschlagten Einnahmen</w:t>
      </w:r>
    </w:p>
    <w:p>
      <w:r>
        <w:t xml:space="preserve">hinaus Mittel bereitstellt, werden nach Einwilligung des Ausschusses für</w:t>
      </w:r>
    </w:p>
    <w:p>
      <w:r>
        <w:t xml:space="preserve">Haushalt und Finanzen die entsprechenden Mehrausgaben einschließlich der</w:t>
      </w:r>
    </w:p>
    <w:p>
      <w:r>
        <w:t xml:space="preserve">Komplementärmittel des Landes geleistet. Soweit der Bund</w:t>
      </w:r>
    </w:p>
    <w:p>
      <w:r>
        <w:t xml:space="preserve">für die Gemeinschaftsaufgabe „Ausbau und Neubau von Hochschulen</w:t>
      </w:r>
    </w:p>
    <w:p>
      <w:r>
        <w:t xml:space="preserve">einschließlich Hochschulkliniken" seine im Bundeshaushalt</w:t>
      </w:r>
    </w:p>
    <w:p>
      <w:r>
        <w:t xml:space="preserve">veranschlagten Mittel von 1 800 000 000 Deutsche Mark erhöht und der</w:t>
      </w:r>
    </w:p>
    <w:p>
      <w:r>
        <w:t xml:space="preserve">Bund-Länder-Planungsausschuß auf dieser Grundlage die Freigabe</w:t>
      </w:r>
    </w:p>
    <w:p>
      <w:r>
        <w:t xml:space="preserve">weiterer Mittel für konkrete Vorhaben des Landes Brandenburg im Rahmenplan</w:t>
      </w:r>
    </w:p>
    <w:p>
      <w:r>
        <w:t xml:space="preserve">für den Hochschulbau beschließt,</w:t>
      </w:r>
    </w:p>
    <w:p>
      <w:r>
        <w:t xml:space="preserve">für die Städtebauförderung (Städtebauliche</w:t>
      </w:r>
    </w:p>
    <w:p>
      <w:r>
        <w:t xml:space="preserve">Weiterentwicklung großer Neubaugebiete, Investitionen für</w:t>
      </w:r>
    </w:p>
    <w:p>
      <w:r>
        <w:t xml:space="preserve">denkmalpflegerische Maßnahmen in anerkannten historischen Stadt- und</w:t>
      </w:r>
    </w:p>
    <w:p>
      <w:r>
        <w:t xml:space="preserve">Ortskernen, städtebauliche Entwicklungs- und Sanierungsmaßnahmen)</w:t>
      </w:r>
    </w:p>
    <w:p>
      <w:r>
        <w:t xml:space="preserve">seine im Haushalt veranschlagten Mittel erhöht,</w:t>
      </w:r>
    </w:p>
    <w:p>
      <w:r>
        <w:t xml:space="preserve">können nach Einwilligung des Ausschusses für</w:t>
      </w:r>
    </w:p>
    <w:p>
      <w:r>
        <w:t xml:space="preserve">Haushalt und Finanzen die entsprechenden Mehrausgaben einschließlich der</w:t>
      </w:r>
    </w:p>
    <w:p>
      <w:r>
        <w:t xml:space="preserve">Komplementärmittel des Landes geleistet werden. Satz 1 gilt auch für</w:t>
      </w:r>
    </w:p>
    <w:p>
      <w:r>
        <w:t xml:space="preserve">die Finanzierung von Haftungsfreistellungen nach dem Umweltrahmengesetz und</w:t>
      </w:r>
    </w:p>
    <w:p>
      <w:r>
        <w:t xml:space="preserve">für die Komplementärmittel des Landes, die für die Finanzierung</w:t>
      </w:r>
    </w:p>
    <w:p>
      <w:r>
        <w:t xml:space="preserve">von Maßnahmen im Rahmen des Sonderprogramms „Verbesserung der</w:t>
      </w:r>
    </w:p>
    <w:p>
      <w:r>
        <w:t xml:space="preserve">Infrastruktur im ländlichen Raum" gemäß § 21 Abs. 1</w:t>
      </w:r>
    </w:p>
    <w:p>
      <w:r>
        <w:t xml:space="preserve">des Gemeindefinanzierungsgesetzes 1999 im Rahmen des Europäischen</w:t>
      </w:r>
    </w:p>
    <w:p>
      <w:r>
        <w:t xml:space="preserve">Ausrichtungs- und Garantiefonds für die Landwirtschaft (EAGFL) über</w:t>
      </w:r>
    </w:p>
    <w:p>
      <w:r>
        <w:t xml:space="preserve">die im Haushaltsplan veranschlagten Ausgaben hinaus benötigt werden.</w:t>
      </w:r>
    </w:p>
    <w:p>
      <w:r>
        <w:t xml:space="preserve">Verpflichtungsermächtigungen für die Finanzierung von</w:t>
      </w:r>
    </w:p>
    <w:p>
      <w:r>
        <w:t xml:space="preserve">Haftungsfreistellungen nach dem Umweltrahmengesetz dürfen in dem</w:t>
      </w:r>
    </w:p>
    <w:p>
      <w:r>
        <w:t xml:space="preserve">Maße überschritten werden, wie durch die Bestätigung der</w:t>
      </w:r>
    </w:p>
    <w:p>
      <w:r>
        <w:t xml:space="preserve">Mitfinanzierung des Bundes eine Erhöhung der Gesamtfinanzierung eintritt.</w:t>
      </w:r>
    </w:p>
    <w:p>
      <w:r>
        <w:t xml:space="preserve">(3) In Abweichung von § 19 Abs. 2 Satz 1 und § 45</w:t>
      </w:r>
    </w:p>
    <w:p>
      <w:r>
        <w:t xml:space="preserve">Abs. 3 der Landeshaushaltsordnung darf das Ministerium der Finanzen seine</w:t>
      </w:r>
    </w:p>
    <w:p>
      <w:r>
        <w:t xml:space="preserve">Einwilligung in die Inanspruchnahme von Ausgaberesten auch erteilen, wenn die</w:t>
      </w:r>
    </w:p>
    <w:p>
      <w:r>
        <w:t xml:space="preserve">übertragenen Ausgaben nach Ausschöpfung anderer</w:t>
      </w:r>
    </w:p>
    <w:p>
      <w:r>
        <w:t xml:space="preserve">Deckungsmöglichkeiten aus einem nicht in Anspruch genommenen Teil der</w:t>
      </w:r>
    </w:p>
    <w:p>
      <w:r>
        <w:t xml:space="preserve">Kreditermächtigungen des Vorjahres gedeckt werden.</w:t>
      </w:r>
    </w:p>
    <w:p>
      <w:r>
        <w:rPr>
          <w:color w:val="555555"/>
          <w:sz w:val="17"/>
        </w:rPr>
        <w:t xml:space="preserve">Zitiervorschlag: § 6 HG 1999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https://recht.nulegal.eu/gesetze/HG%201999/6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