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HG 1999 (Brandenburg) — Haushaltswirtschaftliche Begrenzung der Gewährung von Sonderzuschlägen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Sonderzuschläge nach der Verordnung über die</w:t>
      </w:r>
    </w:p>
    <w:p>
      <w:r>
        <w:t xml:space="preserve">Gewährung von Sonderzuschlägen zur Sicherung der Funktions- und</w:t>
      </w:r>
    </w:p>
    <w:p>
      <w:r>
        <w:t xml:space="preserve">Wettbewerbsfähigkeit vom 16. März 1998 (BGBl. I. S. 513) können</w:t>
      </w:r>
    </w:p>
    <w:p>
      <w:r>
        <w:t xml:space="preserve">Beamten des Landes nicht gewährt werden.</w:t>
      </w:r>
    </w:p>
    <w:p>
      <w:r>
        <w:rPr>
          <w:color w:val="555555"/>
          <w:sz w:val="17"/>
        </w:rPr>
        <w:t xml:space="preserve">Zitiervorschlag: § 20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