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HG 1998 (Brandenburg) — Bürgschaften und Rückbürgschaften</w:t>
      </w:r>
    </w:p>
    <w:p>
      <w:r>
        <w:rPr>
          <w:color w:val="555555"/>
          <w:sz w:val="18"/>
        </w:rPr>
        <w:t xml:space="preserve">Haushaltsgesetz 1998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bis zur Höhe von insgesamt 350 000 000</w:t>
      </w:r>
    </w:p>
    <w:p>
      <w:r>
        <w:t xml:space="preserve">Deutsche Mark zu übernehmen.</w:t>
      </w:r>
    </w:p>
    <w:p>
      <w:r>
        <w:t xml:space="preserve">(2) Die Ministerin der Finanzen wird ermächtigt,</w:t>
      </w:r>
    </w:p>
    <w:p>
      <w:r>
        <w:t xml:space="preserve">Bürgschaften für Kredite zur Förderung des Wohnungsbaus und an</w:t>
      </w:r>
    </w:p>
    <w:p>
      <w:r>
        <w:t xml:space="preserve">Studentenwerke zur Förderung des Studentenwohnheimbaus bis zur Höhe</w:t>
      </w:r>
    </w:p>
    <w:p>
      <w:r>
        <w:t xml:space="preserve">von 600 000 000 Deutsche Mark zu übernehmen.</w:t>
      </w:r>
    </w:p>
    <w:p>
      <w:r>
        <w:t xml:space="preserve">(3) Die Ministerin der Finanzen wird ermächtigt, zur</w:t>
      </w:r>
    </w:p>
    <w:p>
      <w:r>
        <w:t xml:space="preserve">Absicherung von Krediten an Dritte für Investitionen des Landes im Rahmen</w:t>
      </w:r>
    </w:p>
    <w:p>
      <w:r>
        <w:t xml:space="preserve">von Sonderfinanzierungen nach § 11 dieses Gesetzes Bürgschaften oder</w:t>
      </w:r>
    </w:p>
    <w:p>
      <w:r>
        <w:t xml:space="preserve">Sicherheitserklärungen bis zu einer Gesamthöhe von 200 000 000</w:t>
      </w:r>
    </w:p>
    <w:p>
      <w:r>
        <w:t xml:space="preserve">Deutsche Mark zugunsten der Investitionsbank des Landes Brandenburg oder der</w:t>
      </w:r>
    </w:p>
    <w:p>
      <w:r>
        <w:t xml:space="preserve">finanzierenden Einrichtungen zu übernehmen.</w:t>
      </w:r>
    </w:p>
    <w:p>
      <w:r>
        <w:t xml:space="preserve">(4) Die Ministerin der Finanzen wird ermächtigt,</w:t>
      </w:r>
    </w:p>
    <w:p>
      <w:r>
        <w:t xml:space="preserve">Bürgschaften für Kredite zur Finanzierung von</w:t>
      </w:r>
    </w:p>
    <w:p>
      <w:r>
        <w:t xml:space="preserve">Filmförderungsmaßnahmen im Rahmen eines Filmförderfonds bis zur</w:t>
      </w:r>
    </w:p>
    <w:p>
      <w:r>
        <w:t xml:space="preserve">Höhe von 20 000 000 Deutsche Mark zu übernehmen.</w:t>
      </w:r>
    </w:p>
    <w:p>
      <w:r>
        <w:t xml:space="preserve">(5) Die Ministerin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bis zur Höhe von 50 000 000 Deutsche Mark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5 000 000 Deutsche Mark, bedarf es</w:t>
      </w:r>
    </w:p>
    <w:p>
      <w:r>
        <w:t xml:space="preserve">der Einwilligung des Ausschusses für Haushalt und Finanzen des Landtages.</w:t>
      </w:r>
    </w:p>
    <w:p>
      <w:r>
        <w:t xml:space="preserve">(6) Bürgschaften gemäß den Absätzen 1 bis</w:t>
      </w:r>
    </w:p>
    <w:p>
      <w:r>
        <w:t xml:space="preserve">3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 Der Ausschuß für Haushalt und Finanzen des</w:t>
      </w:r>
    </w:p>
    <w:p>
      <w:r>
        <w:t xml:space="preserve">Landtages kann davon in begründeten Einzelfällen Ausnahmen zulassen,</w:t>
      </w:r>
    </w:p>
    <w:p>
      <w:r>
        <w:t xml:space="preserve">soweit dies der Erhaltung von Arbeitsplätzen oder der Unterstützung</w:t>
      </w:r>
    </w:p>
    <w:p>
      <w:r>
        <w:t xml:space="preserve">gewerblicher Unternehmen in strukturschwachen Gebieten dient.</w:t>
      </w:r>
    </w:p>
    <w:p>
      <w:r>
        <w:t xml:space="preserve">(7) Bürgschaften nach dem Landesbürgschaftsprogramm</w:t>
      </w:r>
    </w:p>
    <w:p>
      <w:r>
        <w:t xml:space="preserve">dürfen nur dann in Anspruch genommen werden, wenn keine anderen</w:t>
      </w:r>
    </w:p>
    <w:p>
      <w:r>
        <w:t xml:space="preserve">Bürgschaftsprogramme für diesen Regelungsbereich vorhanden sind. Die</w:t>
      </w:r>
    </w:p>
    <w:p>
      <w:r>
        <w:t xml:space="preserve">Ministerin der Finanzen wird ermächtigt, Ausnahmen von Satz 1 zuzulassen.</w:t>
      </w:r>
    </w:p>
    <w:p>
      <w:r>
        <w:rPr>
          <w:color w:val="555555"/>
          <w:sz w:val="17"/>
        </w:rPr>
        <w:t xml:space="preserve">Zitiervorschlag: § 4 HG 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HG 1998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