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HG 1998 (Brandenburg) — Übergangsregelung zur Funktionalreform</w:t>
      </w:r>
    </w:p>
    <w:p>
      <w:r>
        <w:rPr>
          <w:color w:val="555555"/>
          <w:sz w:val="18"/>
        </w:rPr>
        <w:t xml:space="preserve">Haushaltsgesetz 1998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Soweit im Laufe des Jahres 1998 Aufgaben insbesondere im Zuge</w:t>
      </w:r>
    </w:p>
    <w:p>
      <w:r>
        <w:t xml:space="preserve">der Funktionalreform übertragen werden und nach dem</w:t>
      </w:r>
    </w:p>
    <w:p>
      <w:r>
        <w:t xml:space="preserve">Gemeindefinanzierungsgesetz keine Mittel bereitgestellt sind, soll die</w:t>
      </w:r>
    </w:p>
    <w:p>
      <w:r>
        <w:t xml:space="preserve">Ministerin der Finanzen zulassen, daß die Erstattung an die kommunalen</w:t>
      </w:r>
    </w:p>
    <w:p>
      <w:r>
        <w:t xml:space="preserve">Gebietskörperschaften aus den betreffenden Titeln für Personal- und</w:t>
      </w:r>
    </w:p>
    <w:p>
      <w:r>
        <w:t xml:space="preserve">Sachausgaben der jeweiligen Einzelpläne geleistet werden. Für die</w:t>
      </w:r>
    </w:p>
    <w:p>
      <w:r>
        <w:t xml:space="preserve">Höhe der Erstattung der Personalausgaben bilden die Anzahl und Wertigkeit</w:t>
      </w:r>
    </w:p>
    <w:p>
      <w:r>
        <w:t xml:space="preserve">der durch die Überleitung der Aufgaben betroffenen Planstellen und Stellen</w:t>
      </w:r>
    </w:p>
    <w:p>
      <w:r>
        <w:t xml:space="preserve">die Obergrenze.</w:t>
      </w:r>
    </w:p>
    <w:p>
      <w:r>
        <w:rPr>
          <w:color w:val="555555"/>
          <w:sz w:val="17"/>
        </w:rPr>
        <w:t xml:space="preserve">Zitiervorschlag: § 22 HG 1998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https://recht.nulegal.eu/gesetze/HG%201998/22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