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1997 (Brandenburg) — Maßnahmen zur Energieeinsparung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für Heizung, Strom und sonstigen</w:t>
      </w:r>
    </w:p>
    <w:p>
      <w:r>
        <w:t xml:space="preserve">Energiebedarf (Gruppe 517) sind in Höhe von 1 vom Hundert gesperrt. Die</w:t>
      </w:r>
    </w:p>
    <w:p>
      <w:r>
        <w:t xml:space="preserve">gesperrten Ausgaben sind für Maßnahmen zur Energieeinsparung in der</w:t>
      </w:r>
    </w:p>
    <w:p>
      <w:r>
        <w:t xml:space="preserve">Landesverwaltung einzusetzen.</w:t>
      </w:r>
    </w:p>
    <w:p>
      <w:r>
        <w:t xml:space="preserve">(2) Einsparungen bei den in Absatz 1 genannten Ausgaben, die</w:t>
      </w:r>
    </w:p>
    <w:p>
      <w:r>
        <w:t xml:space="preserve">sich aus Energiesparmaßnahmen ergeben, dürfen zur Deckung von</w:t>
      </w:r>
    </w:p>
    <w:p>
      <w:r>
        <w:t xml:space="preserve">Ausgaben für Investitionen zur Erzielung weiterer Energieeinsparung und</w:t>
      </w:r>
    </w:p>
    <w:p>
      <w:r>
        <w:t xml:space="preserve">damit verbundener Kostensenkung verwendet werden.</w:t>
      </w:r>
    </w:p>
    <w:p>
      <w:r>
        <w:t xml:space="preserve">(3) Das Nähere regelt die Ministerin der Finanzen im</w:t>
      </w:r>
    </w:p>
    <w:p>
      <w:r>
        <w:t xml:space="preserve">Einvernehmen mit dem Minister für Wirtschaft, Mittelstand und Technologie</w:t>
      </w:r>
    </w:p>
    <w:p>
      <w:r>
        <w:t xml:space="preserve">und den beteiligten Ressorts.</w:t>
      </w:r>
    </w:p>
    <w:p>
      <w:r>
        <w:rPr>
          <w:color w:val="555555"/>
          <w:sz w:val="17"/>
        </w:rPr>
        <w:t xml:space="preserve">Zitiervorschlag: § 9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