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HG 1997 (Brandenburg) — Experimentierklausel</w:t>
      </w:r>
    </w:p>
    <w:p>
      <w:r>
        <w:rPr>
          <w:color w:val="555555"/>
          <w:sz w:val="18"/>
        </w:rPr>
        <w:t xml:space="preserve">Haushaltsgesetz 1997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In ausgewählten Einrichtungen der nachgeordneten</w:t>
      </w:r>
    </w:p>
    <w:p>
      <w:r>
        <w:t xml:space="preserve">Landesverwaltung kann durch Modellvorhaben erprobt werden, ob durch</w:t>
      </w:r>
    </w:p>
    <w:p>
      <w:r>
        <w:t xml:space="preserve">erhöhte Flexibilität bei der Mittelbewirtschaftung Einsparungen</w:t>
      </w:r>
    </w:p>
    <w:p>
      <w:r>
        <w:t xml:space="preserve">erreicht und die Leistungsfähigkeit der Verwaltung erhöht werden</w:t>
      </w:r>
    </w:p>
    <w:p>
      <w:r>
        <w:t xml:space="preserve">können.</w:t>
      </w:r>
    </w:p>
    <w:p>
      <w:r>
        <w:t xml:space="preserve">(2) Zur Durchführung von Modellversuchen wird zugelassen,</w:t>
      </w:r>
    </w:p>
    <w:p>
      <w:r>
        <w:t xml:space="preserve">durch Haushaltsvermerke abweichend von § 20 Abs. 2 der</w:t>
      </w:r>
    </w:p>
    <w:p>
      <w:r>
        <w:t xml:space="preserve">Landeshaushaltsordnung die volle Deckungsfähigkeit innerhalb der</w:t>
      </w:r>
    </w:p>
    <w:p>
      <w:r>
        <w:t xml:space="preserve">Hauptgruppen sowie eine teilweise Deckungsfähigkeit zwischen den</w:t>
      </w:r>
    </w:p>
    <w:p>
      <w:r>
        <w:t xml:space="preserve">Hauptgruppen anzuordnen;</w:t>
      </w:r>
    </w:p>
    <w:p>
      <w:r>
        <w:t xml:space="preserve">gemäß § 62 Abs. 3 Satz 2 der Landeshaushaltsordnung bis</w:t>
      </w:r>
    </w:p>
    <w:p>
      <w:r>
        <w:t xml:space="preserve">zur Höhe von 80 vom Hundert nicht in Anspruch genommene Ausgaben und</w:t>
      </w:r>
    </w:p>
    <w:p>
      <w:r>
        <w:t xml:space="preserve">Mehreinnahmen einer Rücklage zuzuführen, die bis zum Schluß des</w:t>
      </w:r>
    </w:p>
    <w:p>
      <w:r>
        <w:t xml:space="preserve">auf die Bewilligung folgenden zweitnächsten Haushaltsjahres verfügbar</w:t>
      </w:r>
    </w:p>
    <w:p>
      <w:r>
        <w:t xml:space="preserve">bleibt. Nicht verbrauchte Einnahmen aus zweckgebundenen Drittmitteln</w:t>
      </w:r>
    </w:p>
    <w:p>
      <w:r>
        <w:t xml:space="preserve">dürfen in voller Höhe der Rücklage zugeführt werden.</w:t>
      </w:r>
    </w:p>
    <w:p>
      <w:r>
        <w:rPr>
          <w:color w:val="555555"/>
          <w:sz w:val="17"/>
        </w:rPr>
        <w:t xml:space="preserve">Zitiervorschlag: § 5 HG 1997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https://recht.nulegal.eu/gesetze/HG%201997/5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